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418" w:firstLineChars="104"/>
        <w:jc w:val="center"/>
        <w:rPr>
          <w:rFonts w:ascii="宋体" w:hAnsi="宋体" w:cs="宋体"/>
          <w:b/>
          <w:color w:val="auto"/>
          <w:kern w:val="0"/>
          <w:sz w:val="40"/>
          <w:szCs w:val="21"/>
          <w:highlight w:val="none"/>
        </w:rPr>
      </w:pPr>
      <w:r>
        <w:rPr>
          <w:rFonts w:hint="eastAsia" w:ascii="宋体" w:hAnsi="宋体" w:cs="宋体"/>
          <w:b/>
          <w:color w:val="auto"/>
          <w:kern w:val="0"/>
          <w:sz w:val="40"/>
          <w:szCs w:val="21"/>
          <w:highlight w:val="none"/>
        </w:rPr>
        <w:t>物流科学与工程研究院</w:t>
      </w:r>
      <w:r>
        <w:rPr>
          <w:rFonts w:ascii="宋体" w:hAnsi="宋体" w:cs="宋体"/>
          <w:b/>
          <w:color w:val="auto"/>
          <w:kern w:val="0"/>
          <w:sz w:val="40"/>
          <w:szCs w:val="21"/>
          <w:highlight w:val="none"/>
        </w:rPr>
        <w:t>20</w:t>
      </w:r>
      <w:r>
        <w:rPr>
          <w:rFonts w:hint="eastAsia" w:ascii="宋体" w:hAnsi="宋体" w:cs="宋体"/>
          <w:b/>
          <w:color w:val="auto"/>
          <w:kern w:val="0"/>
          <w:sz w:val="40"/>
          <w:szCs w:val="21"/>
          <w:highlight w:val="none"/>
        </w:rPr>
        <w:t>22</w:t>
      </w:r>
      <w:r>
        <w:rPr>
          <w:rFonts w:ascii="宋体" w:hAnsi="宋体" w:cs="宋体"/>
          <w:b/>
          <w:color w:val="auto"/>
          <w:kern w:val="0"/>
          <w:sz w:val="40"/>
          <w:szCs w:val="21"/>
          <w:highlight w:val="none"/>
        </w:rPr>
        <w:t>年</w:t>
      </w:r>
    </w:p>
    <w:p>
      <w:pPr>
        <w:snapToGrid w:val="0"/>
        <w:spacing w:line="312" w:lineRule="auto"/>
        <w:ind w:firstLine="418" w:firstLineChars="104"/>
        <w:jc w:val="center"/>
        <w:rPr>
          <w:rFonts w:ascii="宋体" w:hAnsi="宋体" w:cs="宋体"/>
          <w:b/>
          <w:color w:val="auto"/>
          <w:kern w:val="0"/>
          <w:sz w:val="40"/>
          <w:szCs w:val="21"/>
          <w:highlight w:val="none"/>
        </w:rPr>
      </w:pPr>
      <w:r>
        <w:rPr>
          <w:rFonts w:hint="eastAsia" w:ascii="宋体" w:hAnsi="宋体" w:cs="宋体"/>
          <w:b/>
          <w:color w:val="auto"/>
          <w:kern w:val="0"/>
          <w:sz w:val="40"/>
          <w:szCs w:val="21"/>
          <w:highlight w:val="none"/>
          <w:lang w:eastAsia="zh-CN"/>
        </w:rPr>
        <w:t>硕士</w:t>
      </w:r>
      <w:r>
        <w:rPr>
          <w:rFonts w:ascii="宋体" w:hAnsi="宋体" w:cs="宋体"/>
          <w:b/>
          <w:color w:val="auto"/>
          <w:kern w:val="0"/>
          <w:sz w:val="40"/>
          <w:szCs w:val="21"/>
          <w:highlight w:val="none"/>
        </w:rPr>
        <w:t>研究生</w:t>
      </w:r>
      <w:r>
        <w:rPr>
          <w:rFonts w:hint="eastAsia" w:ascii="宋体" w:hAnsi="宋体" w:cs="宋体"/>
          <w:b/>
          <w:color w:val="auto"/>
          <w:kern w:val="0"/>
          <w:sz w:val="40"/>
          <w:szCs w:val="21"/>
          <w:highlight w:val="none"/>
        </w:rPr>
        <w:t>学业</w:t>
      </w:r>
      <w:r>
        <w:rPr>
          <w:rFonts w:ascii="宋体" w:hAnsi="宋体" w:cs="宋体"/>
          <w:b/>
          <w:color w:val="auto"/>
          <w:kern w:val="0"/>
          <w:sz w:val="40"/>
          <w:szCs w:val="21"/>
          <w:highlight w:val="none"/>
        </w:rPr>
        <w:t>奖学金评选</w:t>
      </w:r>
      <w:r>
        <w:rPr>
          <w:rFonts w:hint="eastAsia" w:ascii="宋体" w:hAnsi="宋体" w:cs="宋体"/>
          <w:b/>
          <w:color w:val="auto"/>
          <w:kern w:val="0"/>
          <w:sz w:val="40"/>
          <w:szCs w:val="21"/>
          <w:highlight w:val="none"/>
          <w:lang w:eastAsia="zh-CN"/>
        </w:rPr>
        <w:t>实施</w:t>
      </w:r>
      <w:r>
        <w:rPr>
          <w:rFonts w:hint="eastAsia" w:ascii="宋体" w:hAnsi="宋体" w:cs="宋体"/>
          <w:b/>
          <w:color w:val="auto"/>
          <w:kern w:val="0"/>
          <w:sz w:val="40"/>
          <w:szCs w:val="21"/>
          <w:highlight w:val="none"/>
        </w:rPr>
        <w:t>细则</w:t>
      </w:r>
    </w:p>
    <w:p>
      <w:pPr>
        <w:snapToGrid w:val="0"/>
        <w:spacing w:line="420" w:lineRule="exact"/>
        <w:ind w:firstLine="480" w:firstLineChars="200"/>
        <w:rPr>
          <w:rFonts w:ascii="宋体" w:hAnsi="宋体" w:cs="宋体"/>
          <w:color w:val="auto"/>
          <w:kern w:val="0"/>
          <w:sz w:val="24"/>
          <w:szCs w:val="21"/>
          <w:highlight w:val="none"/>
        </w:rPr>
      </w:pP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为改善物流科学与工程研究院生源结构，提高生源质量，吸引更多优秀考生报考我院，激励研究生勤奋学习、潜心科研、勇于创新、积极进取，根据《上海海事大学全日制研究生学业奖学金实施办法》和《</w:t>
      </w:r>
      <w:r>
        <w:rPr>
          <w:rFonts w:ascii="宋体" w:hAnsi="宋体" w:cs="宋体"/>
          <w:color w:val="auto"/>
          <w:kern w:val="0"/>
          <w:sz w:val="24"/>
          <w:szCs w:val="21"/>
          <w:highlight w:val="none"/>
        </w:rPr>
        <w:t>关于开展2</w:t>
      </w:r>
      <w:r>
        <w:rPr>
          <w:rFonts w:hint="eastAsia" w:ascii="宋体" w:hAnsi="宋体" w:cs="宋体"/>
          <w:color w:val="auto"/>
          <w:kern w:val="0"/>
          <w:sz w:val="24"/>
          <w:szCs w:val="21"/>
          <w:highlight w:val="none"/>
        </w:rPr>
        <w:t>021-2022</w:t>
      </w:r>
      <w:r>
        <w:rPr>
          <w:rFonts w:ascii="宋体" w:hAnsi="宋体" w:cs="宋体"/>
          <w:color w:val="auto"/>
          <w:kern w:val="0"/>
          <w:sz w:val="24"/>
          <w:szCs w:val="21"/>
          <w:highlight w:val="none"/>
        </w:rPr>
        <w:t>年</w:t>
      </w:r>
      <w:r>
        <w:rPr>
          <w:rFonts w:hint="eastAsia" w:ascii="宋体" w:hAnsi="宋体" w:cs="宋体"/>
          <w:color w:val="auto"/>
          <w:kern w:val="0"/>
          <w:sz w:val="24"/>
          <w:szCs w:val="21"/>
          <w:highlight w:val="none"/>
        </w:rPr>
        <w:t>上海海事大学硕士</w:t>
      </w:r>
      <w:r>
        <w:rPr>
          <w:rFonts w:ascii="宋体" w:hAnsi="宋体" w:cs="宋体"/>
          <w:color w:val="auto"/>
          <w:kern w:val="0"/>
          <w:sz w:val="24"/>
          <w:szCs w:val="21"/>
          <w:highlight w:val="none"/>
        </w:rPr>
        <w:t>研究生</w:t>
      </w:r>
      <w:r>
        <w:rPr>
          <w:rFonts w:hint="eastAsia" w:ascii="宋体" w:hAnsi="宋体" w:cs="宋体"/>
          <w:color w:val="auto"/>
          <w:kern w:val="0"/>
          <w:sz w:val="24"/>
          <w:szCs w:val="21"/>
          <w:highlight w:val="none"/>
        </w:rPr>
        <w:t>学业</w:t>
      </w:r>
      <w:r>
        <w:rPr>
          <w:rFonts w:ascii="宋体" w:hAnsi="宋体" w:cs="宋体"/>
          <w:color w:val="auto"/>
          <w:kern w:val="0"/>
          <w:sz w:val="24"/>
          <w:szCs w:val="21"/>
          <w:highlight w:val="none"/>
        </w:rPr>
        <w:t>奖学金评选工作的通知</w:t>
      </w:r>
      <w:r>
        <w:rPr>
          <w:rFonts w:hint="eastAsia" w:ascii="宋体" w:hAnsi="宋体" w:cs="宋体"/>
          <w:color w:val="auto"/>
          <w:kern w:val="0"/>
          <w:sz w:val="24"/>
          <w:szCs w:val="21"/>
          <w:highlight w:val="none"/>
        </w:rPr>
        <w:t>》的文件精神，结合物流科学与工程研究院实际情况，</w:t>
      </w:r>
      <w:r>
        <w:rPr>
          <w:rFonts w:ascii="宋体" w:hAnsi="宋体" w:cs="宋体"/>
          <w:color w:val="auto"/>
          <w:kern w:val="0"/>
          <w:sz w:val="24"/>
          <w:szCs w:val="21"/>
          <w:highlight w:val="none"/>
        </w:rPr>
        <w:t>现</w:t>
      </w:r>
      <w:r>
        <w:rPr>
          <w:rFonts w:hint="eastAsia" w:ascii="宋体" w:hAnsi="宋体" w:cs="宋体"/>
          <w:color w:val="auto"/>
          <w:kern w:val="0"/>
          <w:sz w:val="24"/>
          <w:szCs w:val="21"/>
          <w:highlight w:val="none"/>
        </w:rPr>
        <w:t>制定物流科学与工程研究院2022年</w:t>
      </w:r>
      <w:r>
        <w:rPr>
          <w:rFonts w:hint="eastAsia" w:ascii="宋体" w:hAnsi="宋体" w:cs="宋体"/>
          <w:color w:val="auto"/>
          <w:kern w:val="0"/>
          <w:sz w:val="24"/>
          <w:szCs w:val="21"/>
          <w:highlight w:val="none"/>
          <w:lang w:eastAsia="zh-CN"/>
        </w:rPr>
        <w:t>硕士</w:t>
      </w:r>
      <w:r>
        <w:rPr>
          <w:rFonts w:ascii="宋体" w:hAnsi="宋体" w:cs="宋体"/>
          <w:color w:val="auto"/>
          <w:kern w:val="0"/>
          <w:sz w:val="24"/>
          <w:szCs w:val="21"/>
          <w:highlight w:val="none"/>
        </w:rPr>
        <w:t>研究生</w:t>
      </w:r>
      <w:r>
        <w:rPr>
          <w:rFonts w:hint="eastAsia" w:ascii="宋体" w:hAnsi="宋体" w:cs="宋体"/>
          <w:color w:val="auto"/>
          <w:kern w:val="0"/>
          <w:sz w:val="24"/>
          <w:szCs w:val="21"/>
          <w:highlight w:val="none"/>
        </w:rPr>
        <w:t>学业</w:t>
      </w:r>
      <w:r>
        <w:rPr>
          <w:rFonts w:ascii="宋体" w:hAnsi="宋体" w:cs="宋体"/>
          <w:color w:val="auto"/>
          <w:kern w:val="0"/>
          <w:sz w:val="24"/>
          <w:szCs w:val="21"/>
          <w:highlight w:val="none"/>
        </w:rPr>
        <w:t>奖学金评选</w:t>
      </w:r>
      <w:r>
        <w:rPr>
          <w:rFonts w:hint="eastAsia" w:ascii="宋体" w:hAnsi="宋体" w:cs="宋体"/>
          <w:color w:val="auto"/>
          <w:kern w:val="0"/>
          <w:sz w:val="24"/>
          <w:szCs w:val="21"/>
          <w:highlight w:val="none"/>
          <w:lang w:eastAsia="zh-CN"/>
        </w:rPr>
        <w:t>实施</w:t>
      </w:r>
      <w:r>
        <w:rPr>
          <w:rFonts w:hint="eastAsia" w:ascii="宋体" w:hAnsi="宋体" w:cs="宋体"/>
          <w:color w:val="auto"/>
          <w:kern w:val="0"/>
          <w:sz w:val="24"/>
          <w:szCs w:val="21"/>
          <w:highlight w:val="none"/>
        </w:rPr>
        <w:t>细则如下</w:t>
      </w:r>
      <w:r>
        <w:rPr>
          <w:rFonts w:ascii="宋体" w:hAnsi="宋体" w:cs="宋体"/>
          <w:color w:val="auto"/>
          <w:kern w:val="0"/>
          <w:sz w:val="24"/>
          <w:szCs w:val="21"/>
          <w:highlight w:val="none"/>
        </w:rPr>
        <w:t>：</w:t>
      </w:r>
    </w:p>
    <w:p>
      <w:pPr>
        <w:snapToGrid w:val="0"/>
        <w:spacing w:line="420" w:lineRule="exact"/>
        <w:ind w:firstLine="482" w:firstLineChars="200"/>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一、</w:t>
      </w:r>
      <w:r>
        <w:rPr>
          <w:rFonts w:ascii="宋体" w:hAnsi="宋体" w:cs="宋体"/>
          <w:b/>
          <w:color w:val="auto"/>
          <w:kern w:val="0"/>
          <w:sz w:val="24"/>
          <w:szCs w:val="21"/>
          <w:highlight w:val="none"/>
        </w:rPr>
        <w:t>评选范围</w:t>
      </w: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2020级、2021级、2022级研究生中国籍非定向在校全日制</w:t>
      </w:r>
      <w:r>
        <w:rPr>
          <w:rFonts w:hint="eastAsia" w:ascii="宋体" w:hAnsi="宋体" w:cs="宋体"/>
          <w:color w:val="auto"/>
          <w:kern w:val="0"/>
          <w:sz w:val="24"/>
          <w:szCs w:val="21"/>
          <w:highlight w:val="none"/>
          <w:lang w:eastAsia="zh-CN"/>
        </w:rPr>
        <w:t>硕士</w:t>
      </w:r>
      <w:r>
        <w:rPr>
          <w:rFonts w:ascii="宋体" w:hAnsi="宋体" w:cs="宋体"/>
          <w:color w:val="auto"/>
          <w:kern w:val="0"/>
          <w:sz w:val="24"/>
          <w:szCs w:val="21"/>
          <w:highlight w:val="none"/>
        </w:rPr>
        <w:t>研究生</w:t>
      </w:r>
      <w:r>
        <w:rPr>
          <w:rFonts w:hint="eastAsia" w:ascii="宋体" w:hAnsi="宋体" w:cs="宋体"/>
          <w:color w:val="auto"/>
          <w:kern w:val="0"/>
          <w:sz w:val="24"/>
          <w:szCs w:val="21"/>
          <w:highlight w:val="none"/>
        </w:rPr>
        <w:t>（基本学制年限内）</w:t>
      </w:r>
      <w:r>
        <w:rPr>
          <w:rFonts w:ascii="宋体" w:hAnsi="宋体" w:cs="宋体"/>
          <w:color w:val="auto"/>
          <w:kern w:val="0"/>
          <w:sz w:val="24"/>
          <w:szCs w:val="21"/>
          <w:highlight w:val="none"/>
        </w:rPr>
        <w:t>。</w:t>
      </w: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根据中华人民共和国教育部令第41号《普通高等学校学生管理规定》第十二条 规定未按学校规定缴纳学费，不予注册，也无法申请学业奖学金（申请贷款学生等特殊学生除外，但需要提供贷款证明等材料）。</w:t>
      </w:r>
    </w:p>
    <w:p>
      <w:pPr>
        <w:snapToGrid w:val="0"/>
        <w:spacing w:line="420" w:lineRule="exact"/>
        <w:ind w:firstLine="465"/>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二、奖励额度和名额分配</w:t>
      </w:r>
    </w:p>
    <w:p>
      <w:pPr>
        <w:snapToGrid w:val="0"/>
        <w:spacing w:line="420" w:lineRule="exact"/>
        <w:ind w:firstLine="458" w:firstLineChars="191"/>
        <w:rPr>
          <w:rFonts w:cs="宋体" w:asciiTheme="minorEastAsia" w:hAnsiTheme="minorEastAsia" w:eastAsiaTheme="minorEastAsia"/>
          <w:color w:val="auto"/>
          <w:kern w:val="0"/>
          <w:sz w:val="24"/>
          <w:szCs w:val="21"/>
          <w:highlight w:val="none"/>
        </w:rPr>
      </w:pPr>
      <w:r>
        <w:rPr>
          <w:rFonts w:hint="eastAsia" w:cs="宋体" w:asciiTheme="minorEastAsia" w:hAnsiTheme="minorEastAsia" w:eastAsiaTheme="minorEastAsia"/>
          <w:color w:val="auto"/>
          <w:kern w:val="0"/>
          <w:sz w:val="24"/>
          <w:szCs w:val="21"/>
          <w:highlight w:val="none"/>
        </w:rPr>
        <w:t>研究生学业奖学金奖励额度和比例见《上海海事大学全日制研究生学业奖学金实施办法》</w:t>
      </w:r>
      <w:r>
        <w:rPr>
          <w:rFonts w:hint="eastAsia" w:cs="宋体" w:asciiTheme="minorEastAsia" w:hAnsiTheme="minorEastAsia" w:eastAsiaTheme="minorEastAsia"/>
          <w:color w:val="auto"/>
          <w:kern w:val="0"/>
          <w:sz w:val="24"/>
          <w:highlight w:val="none"/>
        </w:rPr>
        <w:t>《关于开展2021</w:t>
      </w:r>
      <w:r>
        <w:rPr>
          <w:rFonts w:cs="宋体" w:asciiTheme="minorEastAsia" w:hAnsiTheme="minorEastAsia" w:eastAsiaTheme="minorEastAsia"/>
          <w:color w:val="auto"/>
          <w:kern w:val="0"/>
          <w:sz w:val="24"/>
          <w:highlight w:val="none"/>
        </w:rPr>
        <w:t>—20</w:t>
      </w:r>
      <w:r>
        <w:rPr>
          <w:rFonts w:hint="eastAsia" w:cs="宋体" w:asciiTheme="minorEastAsia" w:hAnsiTheme="minorEastAsia" w:eastAsiaTheme="minorEastAsia"/>
          <w:color w:val="auto"/>
          <w:kern w:val="0"/>
          <w:sz w:val="24"/>
          <w:highlight w:val="none"/>
        </w:rPr>
        <w:t>22学年上海海事大学硕士研究生学业奖学金评选工作的通知》</w:t>
      </w:r>
      <w:r>
        <w:rPr>
          <w:rFonts w:hint="eastAsia" w:cs="宋体" w:asciiTheme="minorEastAsia" w:hAnsiTheme="minorEastAsia" w:eastAsiaTheme="minorEastAsia"/>
          <w:color w:val="auto"/>
          <w:kern w:val="0"/>
          <w:sz w:val="24"/>
          <w:szCs w:val="21"/>
          <w:highlight w:val="none"/>
        </w:rPr>
        <w:t>。</w:t>
      </w:r>
    </w:p>
    <w:p>
      <w:pPr>
        <w:snapToGrid w:val="0"/>
        <w:spacing w:line="420" w:lineRule="exact"/>
        <w:ind w:firstLine="458" w:firstLineChars="191"/>
        <w:rPr>
          <w:rFonts w:cs="宋体" w:asciiTheme="minorEastAsia" w:hAnsiTheme="minorEastAsia" w:eastAsiaTheme="minorEastAsia"/>
          <w:color w:val="auto"/>
          <w:kern w:val="0"/>
          <w:sz w:val="24"/>
          <w:szCs w:val="21"/>
          <w:highlight w:val="none"/>
        </w:rPr>
      </w:pPr>
      <w:r>
        <w:rPr>
          <w:rFonts w:hint="eastAsia" w:cs="宋体" w:asciiTheme="minorEastAsia" w:hAnsiTheme="minorEastAsia" w:eastAsiaTheme="minorEastAsia"/>
          <w:color w:val="auto"/>
          <w:kern w:val="0"/>
          <w:sz w:val="24"/>
          <w:szCs w:val="21"/>
          <w:highlight w:val="none"/>
        </w:rPr>
        <w:t>根据学校名额分配，物流科学与工程研究以年级为单位，兼顾专业差异，激励科研能力突出等原则，进行名额分配，可根据当年申请者情况进行适当调整。原则上，参评学年度的学业奖学金与国家奖学金不同时兼得。</w:t>
      </w:r>
    </w:p>
    <w:p>
      <w:pPr>
        <w:snapToGrid w:val="0"/>
        <w:spacing w:line="420" w:lineRule="exact"/>
        <w:ind w:firstLine="465"/>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三、评选条件</w:t>
      </w: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w:t>
      </w:r>
      <w:r>
        <w:rPr>
          <w:rFonts w:hint="eastAsia" w:ascii="宋体" w:hAnsi="宋体" w:cs="宋体"/>
          <w:color w:val="auto"/>
          <w:kern w:val="0"/>
          <w:sz w:val="24"/>
          <w:szCs w:val="21"/>
          <w:highlight w:val="none"/>
        </w:rPr>
        <w:t>热爱社会主义祖国，拥护中国共产党的领导。</w:t>
      </w: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2.遵守宪法和法律，遵守学校规章制度。</w:t>
      </w:r>
    </w:p>
    <w:p>
      <w:pPr>
        <w:snapToGrid w:val="0"/>
        <w:spacing w:line="420" w:lineRule="exact"/>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r>
        <w:rPr>
          <w:rFonts w:ascii="宋体" w:hAnsi="宋体" w:cs="宋体"/>
          <w:color w:val="auto"/>
          <w:kern w:val="0"/>
          <w:sz w:val="24"/>
          <w:szCs w:val="21"/>
          <w:highlight w:val="none"/>
        </w:rPr>
        <w:t>.</w:t>
      </w:r>
      <w:r>
        <w:rPr>
          <w:rFonts w:hint="eastAsia" w:ascii="宋体" w:hAnsi="宋体" w:cs="宋体"/>
          <w:color w:val="auto"/>
          <w:kern w:val="0"/>
          <w:sz w:val="24"/>
          <w:szCs w:val="21"/>
          <w:highlight w:val="none"/>
        </w:rPr>
        <w:t>诚实守信，品学兼优。</w:t>
      </w:r>
    </w:p>
    <w:p>
      <w:pPr>
        <w:snapToGrid w:val="0"/>
        <w:spacing w:line="420" w:lineRule="exact"/>
        <w:ind w:firstLine="480" w:firstLineChars="200"/>
        <w:rPr>
          <w:rFonts w:ascii="宋体" w:hAnsi="宋体" w:cs="宋体"/>
          <w:color w:val="auto"/>
          <w:kern w:val="0"/>
          <w:sz w:val="24"/>
          <w:szCs w:val="21"/>
          <w:highlight w:val="none"/>
        </w:rPr>
      </w:pPr>
      <w:r>
        <w:rPr>
          <w:rFonts w:hint="eastAsia" w:ascii="inherit" w:hAnsi="inherit" w:cs="宋体"/>
          <w:color w:val="auto"/>
          <w:kern w:val="0"/>
          <w:sz w:val="24"/>
          <w:highlight w:val="none"/>
        </w:rPr>
        <w:t>4.有较强的科研潜力</w:t>
      </w:r>
      <w:r>
        <w:rPr>
          <w:rFonts w:hint="eastAsia" w:ascii="宋体" w:hAnsi="宋体" w:cs="宋体"/>
          <w:color w:val="auto"/>
          <w:kern w:val="0"/>
          <w:sz w:val="24"/>
          <w:szCs w:val="21"/>
          <w:highlight w:val="none"/>
        </w:rPr>
        <w:t>。</w:t>
      </w:r>
    </w:p>
    <w:p>
      <w:pPr>
        <w:snapToGrid w:val="0"/>
        <w:spacing w:line="420" w:lineRule="exact"/>
        <w:ind w:firstLine="480" w:firstLineChars="200"/>
        <w:rPr>
          <w:rFonts w:ascii="inherit" w:hAnsi="inherit" w:cs="宋体"/>
          <w:color w:val="auto"/>
          <w:kern w:val="0"/>
          <w:sz w:val="24"/>
          <w:highlight w:val="none"/>
        </w:rPr>
      </w:pPr>
      <w:r>
        <w:rPr>
          <w:rFonts w:hint="eastAsia" w:ascii="inherit" w:hAnsi="inherit" w:cs="宋体"/>
          <w:color w:val="auto"/>
          <w:kern w:val="0"/>
          <w:sz w:val="24"/>
          <w:highlight w:val="none"/>
        </w:rPr>
        <w:t>5.同等条件下，积极参加各类社会工作、文化活动、社会实践和志愿服务并取得良好工作业绩，有获得过“优秀学生”“优秀学生干部”“优秀学生党员”“优秀团员”等校级以上荣誉称号的学生优先。</w:t>
      </w:r>
    </w:p>
    <w:p>
      <w:pPr>
        <w:snapToGrid w:val="0"/>
        <w:spacing w:line="420" w:lineRule="exact"/>
        <w:ind w:firstLine="480" w:firstLineChars="200"/>
        <w:rPr>
          <w:rFonts w:ascii="inherit" w:hAnsi="inherit" w:cs="宋体"/>
          <w:bCs/>
          <w:color w:val="auto"/>
          <w:kern w:val="0"/>
          <w:sz w:val="24"/>
          <w:highlight w:val="none"/>
        </w:rPr>
      </w:pPr>
      <w:r>
        <w:rPr>
          <w:rFonts w:hint="eastAsia" w:ascii="宋体"/>
          <w:bCs/>
          <w:color w:val="auto"/>
          <w:kern w:val="0"/>
          <w:sz w:val="24"/>
          <w:szCs w:val="21"/>
          <w:highlight w:val="none"/>
        </w:rPr>
        <w:t>6</w:t>
      </w:r>
      <w:r>
        <w:rPr>
          <w:rFonts w:ascii="宋体"/>
          <w:bCs/>
          <w:color w:val="auto"/>
          <w:kern w:val="0"/>
          <w:sz w:val="24"/>
          <w:szCs w:val="21"/>
          <w:highlight w:val="none"/>
        </w:rPr>
        <w:t>.</w:t>
      </w:r>
      <w:r>
        <w:rPr>
          <w:rFonts w:hint="eastAsia" w:ascii="inherit" w:hAnsi="inherit" w:cs="宋体"/>
          <w:bCs/>
          <w:color w:val="auto"/>
          <w:kern w:val="0"/>
          <w:sz w:val="24"/>
          <w:highlight w:val="none"/>
        </w:rPr>
        <w:t>研究生出现下列情形之一的，不能参评奖学：</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（1）违反国家法律、校纪校规，受到处分者；</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（2）有抄袭剽窃、弄虚作假等学术不端行为，经查证属实者；</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（3）参评时，有学位课程考试不及格者；</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（4）本学年未按时注册者；</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（5）参评学年学籍状态处于休学、保留学籍者；</w:t>
      </w:r>
    </w:p>
    <w:p>
      <w:pPr>
        <w:pStyle w:val="18"/>
        <w:snapToGrid w:val="0"/>
        <w:spacing w:line="360" w:lineRule="auto"/>
        <w:ind w:left="482" w:firstLine="0" w:firstLineChars="0"/>
        <w:rPr>
          <w:rFonts w:ascii="inherit" w:hAnsi="inherit" w:cs="宋体"/>
          <w:color w:val="auto"/>
          <w:kern w:val="0"/>
          <w:sz w:val="24"/>
          <w:highlight w:val="none"/>
        </w:rPr>
      </w:pPr>
      <w:r>
        <w:rPr>
          <w:rFonts w:hint="eastAsia" w:ascii="inherit" w:hAnsi="inherit" w:cs="宋体"/>
          <w:color w:val="auto"/>
          <w:kern w:val="0"/>
          <w:sz w:val="24"/>
          <w:highlight w:val="none"/>
        </w:rPr>
        <w:t>（6）存在其他不当行为情况者。</w:t>
      </w:r>
    </w:p>
    <w:p>
      <w:pPr>
        <w:pStyle w:val="18"/>
        <w:snapToGrid w:val="0"/>
        <w:spacing w:line="360" w:lineRule="auto"/>
        <w:ind w:left="482" w:firstLine="0" w:firstLineChars="0"/>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四、评选细则</w:t>
      </w:r>
    </w:p>
    <w:p>
      <w:pPr>
        <w:snapToGrid w:val="0"/>
        <w:spacing w:line="420" w:lineRule="exact"/>
        <w:ind w:firstLine="480" w:firstLineChars="200"/>
        <w:rPr>
          <w:rFonts w:ascii="inherit" w:hAnsi="inherit" w:cs="宋体"/>
          <w:color w:val="auto"/>
          <w:kern w:val="0"/>
          <w:sz w:val="24"/>
          <w:highlight w:val="none"/>
        </w:rPr>
      </w:pPr>
      <w:r>
        <w:rPr>
          <w:rFonts w:hint="eastAsia" w:ascii="宋体" w:hAnsi="宋体" w:cs="宋体"/>
          <w:color w:val="auto"/>
          <w:kern w:val="0"/>
          <w:sz w:val="24"/>
          <w:szCs w:val="21"/>
          <w:highlight w:val="none"/>
        </w:rPr>
        <w:t>（一）硕士研究生学业奖学金评选细则</w:t>
      </w:r>
    </w:p>
    <w:p>
      <w:pPr>
        <w:snapToGrid w:val="0"/>
        <w:spacing w:line="420" w:lineRule="exact"/>
        <w:ind w:firstLine="482" w:firstLineChars="200"/>
        <w:rPr>
          <w:rFonts w:cs="宋体" w:asciiTheme="minorEastAsia" w:hAnsiTheme="minorEastAsia" w:eastAsiaTheme="minorEastAsia"/>
          <w:color w:val="auto"/>
          <w:kern w:val="0"/>
          <w:sz w:val="24"/>
          <w:szCs w:val="21"/>
          <w:highlight w:val="none"/>
        </w:rPr>
      </w:pPr>
      <w:r>
        <w:rPr>
          <w:rFonts w:hint="eastAsia" w:cs="宋体" w:asciiTheme="minorEastAsia" w:hAnsiTheme="minorEastAsia" w:eastAsiaTheme="minorEastAsia"/>
          <w:b/>
          <w:color w:val="auto"/>
          <w:kern w:val="0"/>
          <w:sz w:val="24"/>
          <w:highlight w:val="none"/>
        </w:rPr>
        <w:t>1、</w:t>
      </w:r>
      <w:r>
        <w:rPr>
          <w:rFonts w:cs="宋体" w:asciiTheme="minorEastAsia" w:hAnsiTheme="minorEastAsia" w:eastAsiaTheme="minorEastAsia"/>
          <w:b/>
          <w:color w:val="auto"/>
          <w:kern w:val="0"/>
          <w:sz w:val="24"/>
          <w:highlight w:val="none"/>
        </w:rPr>
        <w:t>对</w:t>
      </w:r>
      <w:r>
        <w:rPr>
          <w:rFonts w:hint="eastAsia" w:cs="宋体" w:asciiTheme="minorEastAsia" w:hAnsiTheme="minorEastAsia" w:eastAsiaTheme="minorEastAsia"/>
          <w:b/>
          <w:color w:val="auto"/>
          <w:kern w:val="0"/>
          <w:sz w:val="24"/>
          <w:highlight w:val="none"/>
        </w:rPr>
        <w:t>于一年级</w:t>
      </w:r>
      <w:r>
        <w:rPr>
          <w:rFonts w:cs="宋体" w:asciiTheme="minorEastAsia" w:hAnsiTheme="minorEastAsia" w:eastAsiaTheme="minorEastAsia"/>
          <w:b/>
          <w:color w:val="auto"/>
          <w:kern w:val="0"/>
          <w:sz w:val="24"/>
          <w:highlight w:val="none"/>
        </w:rPr>
        <w:t>新入学研究生：</w:t>
      </w:r>
      <w:r>
        <w:rPr>
          <w:rFonts w:hint="eastAsia" w:cs="宋体" w:asciiTheme="minorEastAsia" w:hAnsiTheme="minorEastAsia" w:eastAsiaTheme="minorEastAsia"/>
          <w:b/>
          <w:color w:val="auto"/>
          <w:kern w:val="0"/>
          <w:sz w:val="24"/>
          <w:szCs w:val="21"/>
          <w:highlight w:val="none"/>
        </w:rPr>
        <w:t>根据研究生入学考试初试、复试成绩以及</w:t>
      </w:r>
      <w:r>
        <w:rPr>
          <w:rFonts w:cs="宋体" w:asciiTheme="minorEastAsia" w:hAnsiTheme="minorEastAsia" w:eastAsiaTheme="minorEastAsia"/>
          <w:b/>
          <w:color w:val="auto"/>
          <w:kern w:val="0"/>
          <w:sz w:val="24"/>
          <w:szCs w:val="21"/>
          <w:highlight w:val="none"/>
        </w:rPr>
        <w:t>考生</w:t>
      </w:r>
      <w:r>
        <w:rPr>
          <w:rFonts w:hint="eastAsia" w:cs="宋体" w:asciiTheme="minorEastAsia" w:hAnsiTheme="minorEastAsia" w:eastAsiaTheme="minorEastAsia"/>
          <w:b/>
          <w:color w:val="auto"/>
          <w:kern w:val="0"/>
          <w:sz w:val="24"/>
          <w:szCs w:val="21"/>
          <w:highlight w:val="none"/>
        </w:rPr>
        <w:t>背景等因素按专业进行综合排序，择优确定获奖研究生及获奖等级,</w:t>
      </w:r>
      <w:r>
        <w:rPr>
          <w:rFonts w:hint="eastAsia" w:cs="宋体" w:asciiTheme="minorEastAsia" w:hAnsiTheme="minorEastAsia" w:eastAsiaTheme="minorEastAsia"/>
          <w:b/>
          <w:bCs/>
          <w:color w:val="auto"/>
          <w:kern w:val="0"/>
          <w:sz w:val="24"/>
          <w:szCs w:val="21"/>
          <w:highlight w:val="none"/>
        </w:rPr>
        <w:t>推免生参评一等奖学金。</w:t>
      </w:r>
    </w:p>
    <w:p>
      <w:pPr>
        <w:spacing w:line="360" w:lineRule="auto"/>
        <w:ind w:firstLine="482" w:firstLineChars="200"/>
        <w:jc w:val="left"/>
        <w:rPr>
          <w:rFonts w:cs="宋体" w:asciiTheme="minorEastAsia" w:hAnsiTheme="minorEastAsia" w:eastAsiaTheme="minorEastAsia"/>
          <w:b/>
          <w:color w:val="auto"/>
          <w:kern w:val="0"/>
          <w:sz w:val="24"/>
          <w:szCs w:val="21"/>
          <w:highlight w:val="none"/>
        </w:rPr>
      </w:pPr>
      <w:r>
        <w:rPr>
          <w:rFonts w:hint="eastAsia" w:cs="宋体" w:asciiTheme="minorEastAsia" w:hAnsiTheme="minorEastAsia" w:eastAsiaTheme="minorEastAsia"/>
          <w:b/>
          <w:color w:val="auto"/>
          <w:kern w:val="0"/>
          <w:sz w:val="24"/>
          <w:szCs w:val="21"/>
          <w:highlight w:val="none"/>
        </w:rPr>
        <w:t>计算公式：排序成绩=入学录取总成绩*</w:t>
      </w:r>
      <w:r>
        <w:rPr>
          <w:rFonts w:cs="宋体" w:asciiTheme="minorEastAsia" w:hAnsiTheme="minorEastAsia" w:eastAsiaTheme="minorEastAsia"/>
          <w:b/>
          <w:color w:val="auto"/>
          <w:kern w:val="0"/>
          <w:sz w:val="24"/>
          <w:szCs w:val="21"/>
          <w:highlight w:val="none"/>
        </w:rPr>
        <w:t>K1</w:t>
      </w:r>
      <w:r>
        <w:rPr>
          <w:rFonts w:hint="eastAsia" w:cs="宋体" w:asciiTheme="minorEastAsia" w:hAnsiTheme="minorEastAsia" w:eastAsiaTheme="minorEastAsia"/>
          <w:b/>
          <w:color w:val="auto"/>
          <w:kern w:val="0"/>
          <w:sz w:val="24"/>
          <w:szCs w:val="21"/>
          <w:highlight w:val="none"/>
        </w:rPr>
        <w:t>*</w:t>
      </w:r>
      <w:r>
        <w:rPr>
          <w:rFonts w:cs="宋体" w:asciiTheme="minorEastAsia" w:hAnsiTheme="minorEastAsia" w:eastAsiaTheme="minorEastAsia"/>
          <w:b/>
          <w:color w:val="auto"/>
          <w:kern w:val="0"/>
          <w:sz w:val="24"/>
          <w:szCs w:val="21"/>
          <w:highlight w:val="none"/>
        </w:rPr>
        <w:t>K2</w:t>
      </w:r>
    </w:p>
    <w:p>
      <w:pPr>
        <w:spacing w:line="360" w:lineRule="auto"/>
        <w:ind w:firstLine="480" w:firstLineChars="200"/>
        <w:jc w:val="left"/>
        <w:rPr>
          <w:rFonts w:cs="宋体" w:asciiTheme="minorEastAsia" w:hAnsiTheme="minorEastAsia" w:eastAsiaTheme="minorEastAsia"/>
          <w:color w:val="auto"/>
          <w:kern w:val="0"/>
          <w:sz w:val="24"/>
          <w:szCs w:val="21"/>
          <w:highlight w:val="none"/>
        </w:rPr>
      </w:pPr>
      <w:r>
        <w:rPr>
          <w:rFonts w:hint="eastAsia" w:cs="宋体" w:asciiTheme="minorEastAsia" w:hAnsiTheme="minorEastAsia" w:eastAsiaTheme="minorEastAsia"/>
          <w:color w:val="auto"/>
          <w:kern w:val="0"/>
          <w:sz w:val="24"/>
          <w:szCs w:val="21"/>
          <w:highlight w:val="none"/>
        </w:rPr>
        <w:t>高校生源</w:t>
      </w:r>
      <w:r>
        <w:rPr>
          <w:rFonts w:cs="宋体" w:asciiTheme="minorEastAsia" w:hAnsiTheme="minorEastAsia" w:eastAsiaTheme="minorEastAsia"/>
          <w:color w:val="auto"/>
          <w:kern w:val="0"/>
          <w:sz w:val="24"/>
          <w:szCs w:val="21"/>
          <w:highlight w:val="none"/>
        </w:rPr>
        <w:t>系数</w:t>
      </w:r>
      <w:r>
        <w:rPr>
          <w:rFonts w:hint="eastAsia" w:cs="宋体" w:asciiTheme="minorEastAsia" w:hAnsiTheme="minorEastAsia" w:eastAsiaTheme="minorEastAsia"/>
          <w:color w:val="auto"/>
          <w:kern w:val="0"/>
          <w:sz w:val="24"/>
          <w:szCs w:val="21"/>
          <w:highlight w:val="none"/>
        </w:rPr>
        <w:t>K1：原985高校生源系数为1.1，非985高校一流学科生源系数为1.1（本科毕业专业为一流学科）；原211高校生源系数为1.08，一般院校</w:t>
      </w:r>
      <w:r>
        <w:rPr>
          <w:rFonts w:cs="宋体" w:asciiTheme="minorEastAsia" w:hAnsiTheme="minorEastAsia" w:eastAsiaTheme="minorEastAsia"/>
          <w:color w:val="auto"/>
          <w:kern w:val="0"/>
          <w:sz w:val="24"/>
          <w:szCs w:val="21"/>
          <w:highlight w:val="none"/>
        </w:rPr>
        <w:t>系数为</w:t>
      </w:r>
      <w:r>
        <w:rPr>
          <w:rFonts w:hint="eastAsia" w:cs="宋体" w:asciiTheme="minorEastAsia" w:hAnsiTheme="minorEastAsia" w:eastAsiaTheme="minorEastAsia"/>
          <w:color w:val="auto"/>
          <w:kern w:val="0"/>
          <w:sz w:val="24"/>
          <w:szCs w:val="21"/>
          <w:highlight w:val="none"/>
        </w:rPr>
        <w:t>1.0，若有重叠</w:t>
      </w:r>
      <w:r>
        <w:rPr>
          <w:rFonts w:hint="eastAsia" w:cs="宋体" w:asciiTheme="minorEastAsia" w:hAnsiTheme="minorEastAsia" w:eastAsiaTheme="minorEastAsia"/>
          <w:color w:val="auto"/>
          <w:kern w:val="0"/>
          <w:sz w:val="24"/>
          <w:szCs w:val="21"/>
          <w:highlight w:val="none"/>
          <w:lang w:eastAsia="zh-CN"/>
        </w:rPr>
        <w:t>按照系数高的</w:t>
      </w:r>
      <w:r>
        <w:rPr>
          <w:rFonts w:hint="eastAsia" w:cs="宋体" w:asciiTheme="minorEastAsia" w:hAnsiTheme="minorEastAsia" w:eastAsiaTheme="minorEastAsia"/>
          <w:color w:val="auto"/>
          <w:kern w:val="0"/>
          <w:sz w:val="24"/>
          <w:szCs w:val="21"/>
          <w:highlight w:val="none"/>
        </w:rPr>
        <w:t>计算，不累计；</w:t>
      </w:r>
    </w:p>
    <w:p>
      <w:pPr>
        <w:spacing w:line="360" w:lineRule="auto"/>
        <w:ind w:firstLine="480" w:firstLineChars="200"/>
        <w:jc w:val="left"/>
        <w:rPr>
          <w:rFonts w:cs="宋体" w:asciiTheme="minorEastAsia" w:hAnsiTheme="minorEastAsia" w:eastAsiaTheme="minorEastAsia"/>
          <w:color w:val="auto"/>
          <w:kern w:val="0"/>
          <w:sz w:val="24"/>
          <w:szCs w:val="21"/>
          <w:highlight w:val="none"/>
        </w:rPr>
      </w:pPr>
      <w:r>
        <w:rPr>
          <w:rFonts w:hint="eastAsia" w:cs="宋体" w:asciiTheme="minorEastAsia" w:hAnsiTheme="minorEastAsia" w:eastAsiaTheme="minorEastAsia"/>
          <w:color w:val="auto"/>
          <w:kern w:val="0"/>
          <w:sz w:val="24"/>
          <w:szCs w:val="21"/>
          <w:highlight w:val="none"/>
        </w:rPr>
        <w:t>一志愿生源系数</w:t>
      </w:r>
      <w:r>
        <w:rPr>
          <w:rFonts w:cs="宋体" w:asciiTheme="minorEastAsia" w:hAnsiTheme="minorEastAsia" w:eastAsiaTheme="minorEastAsia"/>
          <w:color w:val="auto"/>
          <w:kern w:val="0"/>
          <w:sz w:val="24"/>
          <w:szCs w:val="21"/>
          <w:highlight w:val="none"/>
        </w:rPr>
        <w:t>K2</w:t>
      </w:r>
      <w:r>
        <w:rPr>
          <w:rFonts w:hint="eastAsia" w:cs="宋体" w:asciiTheme="minorEastAsia" w:hAnsiTheme="minorEastAsia" w:eastAsiaTheme="minorEastAsia"/>
          <w:color w:val="auto"/>
          <w:kern w:val="0"/>
          <w:sz w:val="24"/>
          <w:szCs w:val="21"/>
          <w:highlight w:val="none"/>
        </w:rPr>
        <w:t>：一志愿系数1.03，非</w:t>
      </w:r>
      <w:r>
        <w:rPr>
          <w:rFonts w:cs="宋体" w:asciiTheme="minorEastAsia" w:hAnsiTheme="minorEastAsia" w:eastAsiaTheme="minorEastAsia"/>
          <w:color w:val="auto"/>
          <w:kern w:val="0"/>
          <w:sz w:val="24"/>
          <w:szCs w:val="21"/>
          <w:highlight w:val="none"/>
        </w:rPr>
        <w:t>一志愿系数为</w:t>
      </w:r>
      <w:r>
        <w:rPr>
          <w:rFonts w:hint="eastAsia" w:cs="宋体" w:asciiTheme="minorEastAsia" w:hAnsiTheme="minorEastAsia" w:eastAsiaTheme="minorEastAsia"/>
          <w:color w:val="auto"/>
          <w:kern w:val="0"/>
          <w:sz w:val="24"/>
          <w:szCs w:val="21"/>
          <w:highlight w:val="none"/>
        </w:rPr>
        <w:t>1.0</w:t>
      </w:r>
    </w:p>
    <w:p>
      <w:pPr>
        <w:spacing w:line="360" w:lineRule="auto"/>
        <w:ind w:firstLine="360" w:firstLineChars="150"/>
        <w:jc w:val="left"/>
        <w:rPr>
          <w:rFonts w:cs="宋体" w:asciiTheme="minorEastAsia" w:hAnsiTheme="minorEastAsia" w:eastAsiaTheme="minorEastAsia"/>
          <w:color w:val="auto"/>
          <w:kern w:val="0"/>
          <w:sz w:val="24"/>
          <w:szCs w:val="21"/>
          <w:highlight w:val="none"/>
        </w:rPr>
      </w:pPr>
    </w:p>
    <w:p>
      <w:pPr>
        <w:snapToGrid w:val="0"/>
        <w:spacing w:line="360" w:lineRule="auto"/>
        <w:ind w:firstLine="354" w:firstLineChars="147"/>
        <w:rPr>
          <w:rFonts w:ascii="inherit" w:hAnsi="inherit" w:cs="宋体"/>
          <w:color w:val="auto"/>
          <w:kern w:val="0"/>
          <w:sz w:val="24"/>
          <w:highlight w:val="none"/>
        </w:rPr>
      </w:pPr>
      <w:r>
        <w:rPr>
          <w:rFonts w:hint="eastAsia" w:ascii="inherit" w:hAnsi="inherit" w:cs="宋体"/>
          <w:b/>
          <w:color w:val="auto"/>
          <w:kern w:val="0"/>
          <w:sz w:val="24"/>
          <w:highlight w:val="none"/>
        </w:rPr>
        <w:t>2、</w:t>
      </w:r>
      <w:r>
        <w:rPr>
          <w:rFonts w:ascii="inherit" w:hAnsi="inherit" w:cs="宋体"/>
          <w:b/>
          <w:color w:val="auto"/>
          <w:kern w:val="0"/>
          <w:sz w:val="24"/>
          <w:highlight w:val="none"/>
        </w:rPr>
        <w:t>对</w:t>
      </w:r>
      <w:r>
        <w:rPr>
          <w:rFonts w:hint="eastAsia" w:ascii="inherit" w:hAnsi="inherit" w:cs="宋体"/>
          <w:b/>
          <w:color w:val="auto"/>
          <w:kern w:val="0"/>
          <w:sz w:val="24"/>
          <w:highlight w:val="none"/>
        </w:rPr>
        <w:t>于</w:t>
      </w:r>
      <w:r>
        <w:rPr>
          <w:rFonts w:ascii="inherit" w:hAnsi="inherit" w:cs="宋体"/>
          <w:b/>
          <w:color w:val="auto"/>
          <w:kern w:val="0"/>
          <w:sz w:val="24"/>
          <w:highlight w:val="none"/>
        </w:rPr>
        <w:t>二年级</w:t>
      </w:r>
      <w:r>
        <w:rPr>
          <w:rFonts w:hint="eastAsia" w:ascii="inherit" w:hAnsi="inherit" w:cs="宋体"/>
          <w:b/>
          <w:color w:val="auto"/>
          <w:kern w:val="0"/>
          <w:sz w:val="24"/>
          <w:highlight w:val="none"/>
        </w:rPr>
        <w:t>和三年级</w:t>
      </w:r>
      <w:r>
        <w:rPr>
          <w:rFonts w:ascii="inherit" w:hAnsi="inherit" w:cs="宋体"/>
          <w:b/>
          <w:color w:val="auto"/>
          <w:kern w:val="0"/>
          <w:sz w:val="24"/>
          <w:highlight w:val="none"/>
        </w:rPr>
        <w:t>研究生：根据研究生学习成绩、科研创新能力和社会实践能力等因素进行综合考虑确定学业奖学金的等级</w:t>
      </w:r>
      <w:r>
        <w:rPr>
          <w:rFonts w:hint="eastAsia" w:ascii="inherit" w:hAnsi="inherit" w:cs="宋体"/>
          <w:b/>
          <w:color w:val="auto"/>
          <w:kern w:val="0"/>
          <w:sz w:val="24"/>
          <w:highlight w:val="none"/>
        </w:rPr>
        <w:t>，</w:t>
      </w:r>
      <w:r>
        <w:rPr>
          <w:rFonts w:hint="eastAsia" w:ascii="inherit" w:hAnsi="inherit" w:cs="宋体"/>
          <w:color w:val="auto"/>
          <w:kern w:val="0"/>
          <w:sz w:val="24"/>
          <w:highlight w:val="none"/>
        </w:rPr>
        <w:t>课程学习成绩和科创实践综合分计算方法详见附件《物流科学与工程研究院2022年硕士研究生</w:t>
      </w:r>
      <w:r>
        <w:rPr>
          <w:rFonts w:hint="eastAsia" w:ascii="宋体"/>
          <w:color w:val="auto"/>
          <w:kern w:val="0"/>
          <w:sz w:val="24"/>
          <w:szCs w:val="21"/>
          <w:highlight w:val="none"/>
        </w:rPr>
        <w:t>学业奖学金综合评价指标》。</w:t>
      </w:r>
    </w:p>
    <w:p>
      <w:pPr>
        <w:snapToGrid w:val="0"/>
        <w:spacing w:line="360" w:lineRule="auto"/>
        <w:ind w:firstLine="482" w:firstLineChars="200"/>
        <w:rPr>
          <w:rFonts w:ascii="inherit" w:hAnsi="inherit" w:cs="宋体"/>
          <w:b/>
          <w:color w:val="auto"/>
          <w:kern w:val="0"/>
          <w:sz w:val="24"/>
          <w:highlight w:val="none"/>
        </w:rPr>
      </w:pPr>
      <w:r>
        <w:rPr>
          <w:rFonts w:hint="eastAsia" w:ascii="inherit" w:hAnsi="inherit" w:cs="宋体"/>
          <w:b/>
          <w:color w:val="auto"/>
          <w:kern w:val="0"/>
          <w:sz w:val="24"/>
          <w:highlight w:val="none"/>
        </w:rPr>
        <w:t>其中：</w:t>
      </w:r>
    </w:p>
    <w:p>
      <w:pPr>
        <w:pStyle w:val="18"/>
        <w:numPr>
          <w:ilvl w:val="0"/>
          <w:numId w:val="1"/>
        </w:numPr>
        <w:snapToGrid w:val="0"/>
        <w:spacing w:line="360" w:lineRule="auto"/>
        <w:ind w:left="902" w:firstLineChars="0"/>
        <w:rPr>
          <w:rFonts w:ascii="inherit" w:hAnsi="inherit" w:cs="宋体"/>
          <w:color w:val="auto"/>
          <w:kern w:val="0"/>
          <w:sz w:val="24"/>
          <w:highlight w:val="none"/>
        </w:rPr>
      </w:pPr>
      <w:r>
        <w:rPr>
          <w:rFonts w:hint="eastAsia" w:ascii="宋体"/>
          <w:color w:val="auto"/>
          <w:kern w:val="0"/>
          <w:sz w:val="24"/>
          <w:szCs w:val="21"/>
          <w:highlight w:val="none"/>
        </w:rPr>
        <w:t>二年级：</w:t>
      </w:r>
      <w:r>
        <w:rPr>
          <w:rFonts w:hint="eastAsia" w:ascii="inherit" w:hAnsi="inherit" w:cs="宋体"/>
          <w:color w:val="auto"/>
          <w:kern w:val="0"/>
          <w:sz w:val="24"/>
          <w:highlight w:val="none"/>
        </w:rPr>
        <w:t>评选总分由课程学习成绩和科创实践综合分构成，若评选总分相同，参考</w:t>
      </w:r>
      <w:r>
        <w:rPr>
          <w:rFonts w:ascii="inherit" w:hAnsi="inherit" w:cs="宋体"/>
          <w:color w:val="auto"/>
          <w:kern w:val="0"/>
          <w:sz w:val="24"/>
          <w:highlight w:val="none"/>
        </w:rPr>
        <w:t>综合</w:t>
      </w:r>
      <w:r>
        <w:rPr>
          <w:rFonts w:hint="eastAsia" w:ascii="inherit" w:hAnsi="inherit" w:cs="宋体"/>
          <w:color w:val="auto"/>
          <w:kern w:val="0"/>
          <w:sz w:val="24"/>
          <w:highlight w:val="none"/>
        </w:rPr>
        <w:t>测评</w:t>
      </w:r>
      <w:r>
        <w:rPr>
          <w:rFonts w:hint="eastAsia" w:ascii="宋体" w:hAnsi="宋体"/>
          <w:color w:val="auto"/>
          <w:sz w:val="24"/>
          <w:highlight w:val="none"/>
        </w:rPr>
        <w:t>等因素。</w:t>
      </w:r>
    </w:p>
    <w:p>
      <w:pPr>
        <w:pStyle w:val="18"/>
        <w:numPr>
          <w:ilvl w:val="0"/>
          <w:numId w:val="1"/>
        </w:numPr>
        <w:snapToGrid w:val="0"/>
        <w:spacing w:line="360" w:lineRule="auto"/>
        <w:ind w:left="902" w:firstLineChars="0"/>
        <w:rPr>
          <w:rFonts w:ascii="宋体" w:hAnsi="宋体"/>
          <w:color w:val="auto"/>
          <w:sz w:val="24"/>
          <w:highlight w:val="none"/>
        </w:rPr>
      </w:pPr>
      <w:r>
        <w:rPr>
          <w:rFonts w:hint="eastAsia" w:ascii="宋体" w:hAnsi="宋体"/>
          <w:color w:val="auto"/>
          <w:sz w:val="24"/>
          <w:highlight w:val="none"/>
        </w:rPr>
        <w:t>三年级：主要考查学生的科创实践综合分，</w:t>
      </w:r>
      <w:r>
        <w:rPr>
          <w:rFonts w:hint="eastAsia" w:ascii="inherit" w:hAnsi="inherit" w:cs="宋体"/>
          <w:color w:val="auto"/>
          <w:kern w:val="0"/>
          <w:sz w:val="24"/>
          <w:highlight w:val="none"/>
        </w:rPr>
        <w:t>若科创实践综合分相同，参考</w:t>
      </w:r>
      <w:r>
        <w:rPr>
          <w:rFonts w:ascii="inherit" w:hAnsi="inherit" w:cs="宋体"/>
          <w:color w:val="auto"/>
          <w:kern w:val="0"/>
          <w:sz w:val="24"/>
          <w:highlight w:val="none"/>
        </w:rPr>
        <w:t>综合</w:t>
      </w:r>
      <w:r>
        <w:rPr>
          <w:rFonts w:hint="eastAsia" w:ascii="inherit" w:hAnsi="inherit" w:cs="宋体"/>
          <w:color w:val="auto"/>
          <w:kern w:val="0"/>
          <w:sz w:val="24"/>
          <w:highlight w:val="none"/>
        </w:rPr>
        <w:t>测评</w:t>
      </w:r>
      <w:r>
        <w:rPr>
          <w:rFonts w:hint="eastAsia" w:ascii="宋体" w:hAnsi="宋体"/>
          <w:color w:val="auto"/>
          <w:sz w:val="24"/>
          <w:highlight w:val="none"/>
        </w:rPr>
        <w:t>等因素。</w:t>
      </w:r>
    </w:p>
    <w:p>
      <w:pPr>
        <w:pStyle w:val="18"/>
        <w:numPr>
          <w:ilvl w:val="0"/>
          <w:numId w:val="1"/>
        </w:numPr>
        <w:snapToGrid w:val="0"/>
        <w:spacing w:line="360" w:lineRule="auto"/>
        <w:ind w:left="902" w:firstLineChars="0"/>
        <w:rPr>
          <w:rFonts w:ascii="inherit" w:hAnsi="inherit" w:cs="宋体"/>
          <w:color w:val="auto"/>
          <w:kern w:val="0"/>
          <w:sz w:val="24"/>
          <w:highlight w:val="none"/>
        </w:rPr>
      </w:pPr>
      <w:r>
        <w:rPr>
          <w:rFonts w:hint="eastAsia" w:ascii="宋体" w:hAnsi="宋体"/>
          <w:color w:val="auto"/>
          <w:sz w:val="24"/>
          <w:highlight w:val="none"/>
        </w:rPr>
        <w:t>三年级支撑材料仅接受时</w:t>
      </w:r>
      <w:r>
        <w:rPr>
          <w:rFonts w:hint="eastAsia" w:ascii="inherit" w:hAnsi="inherit" w:cs="宋体"/>
          <w:color w:val="auto"/>
          <w:kern w:val="0"/>
          <w:sz w:val="24"/>
          <w:highlight w:val="none"/>
        </w:rPr>
        <w:t>间范围：2021年10月8日至2022年10月14日，在二年级奖学金评审中已经用过的材料不允许重复提交（如去年提交的是缴费证明+录用通知，今年不可以再以见刊的形式提交），一经发现，严肃处理。</w:t>
      </w:r>
    </w:p>
    <w:p>
      <w:pPr>
        <w:pStyle w:val="18"/>
        <w:numPr>
          <w:ilvl w:val="0"/>
          <w:numId w:val="1"/>
        </w:numPr>
        <w:snapToGrid w:val="0"/>
        <w:spacing w:line="360" w:lineRule="auto"/>
        <w:ind w:left="902" w:firstLineChars="0"/>
        <w:rPr>
          <w:rFonts w:ascii="inherit" w:hAnsi="inherit" w:cs="宋体"/>
          <w:color w:val="auto"/>
          <w:kern w:val="0"/>
          <w:sz w:val="24"/>
          <w:highlight w:val="none"/>
        </w:rPr>
      </w:pPr>
      <w:r>
        <w:rPr>
          <w:rFonts w:hint="eastAsia" w:ascii="inherit" w:hAnsi="inherit" w:cs="宋体"/>
          <w:color w:val="auto"/>
          <w:kern w:val="0"/>
          <w:sz w:val="24"/>
          <w:highlight w:val="none"/>
        </w:rPr>
        <w:t>所有学生申请材料提交截止时间：2022年10月14日15:00，逾期视为自动放弃。</w:t>
      </w:r>
    </w:p>
    <w:p>
      <w:pPr>
        <w:snapToGrid w:val="0"/>
        <w:spacing w:line="420" w:lineRule="exact"/>
        <w:ind w:firstLine="465"/>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五、</w:t>
      </w:r>
      <w:r>
        <w:rPr>
          <w:rFonts w:ascii="宋体" w:hAnsi="宋体" w:cs="宋体"/>
          <w:b/>
          <w:color w:val="auto"/>
          <w:kern w:val="0"/>
          <w:sz w:val="24"/>
          <w:szCs w:val="21"/>
          <w:highlight w:val="none"/>
        </w:rPr>
        <w:t>评选程序</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ascii="宋体" w:eastAsia="宋体"/>
          <w:b w:val="0"/>
          <w:bCs w:val="0"/>
          <w:color w:val="auto"/>
          <w:kern w:val="0"/>
          <w:sz w:val="24"/>
          <w:szCs w:val="21"/>
          <w:highlight w:val="none"/>
        </w:rPr>
        <w:t>1.</w:t>
      </w:r>
      <w:r>
        <w:rPr>
          <w:rFonts w:hint="eastAsia" w:ascii="宋体" w:eastAsia="宋体"/>
          <w:b w:val="0"/>
          <w:bCs w:val="0"/>
          <w:color w:val="auto"/>
          <w:kern w:val="0"/>
          <w:sz w:val="24"/>
          <w:szCs w:val="21"/>
          <w:highlight w:val="none"/>
        </w:rPr>
        <w:t>党政联席会讨论，</w:t>
      </w:r>
      <w:r>
        <w:rPr>
          <w:rFonts w:ascii="宋体" w:eastAsia="宋体"/>
          <w:b w:val="0"/>
          <w:bCs w:val="0"/>
          <w:color w:val="auto"/>
          <w:kern w:val="0"/>
          <w:sz w:val="24"/>
          <w:szCs w:val="21"/>
          <w:highlight w:val="none"/>
        </w:rPr>
        <w:t>成立</w:t>
      </w:r>
      <w:r>
        <w:rPr>
          <w:rFonts w:hint="eastAsia" w:ascii="宋体" w:eastAsia="宋体"/>
          <w:b w:val="0"/>
          <w:bCs w:val="0"/>
          <w:color w:val="auto"/>
          <w:kern w:val="0"/>
          <w:sz w:val="24"/>
          <w:szCs w:val="21"/>
          <w:highlight w:val="none"/>
        </w:rPr>
        <w:t>由主管研究生工作领导、研究生导师、辅导员、教学秘书和学生代表等组成的物流科学与工程研究院研究生奖助</w:t>
      </w:r>
      <w:r>
        <w:rPr>
          <w:rFonts w:ascii="宋体" w:eastAsia="宋体"/>
          <w:b w:val="0"/>
          <w:bCs w:val="0"/>
          <w:color w:val="auto"/>
          <w:kern w:val="0"/>
          <w:sz w:val="24"/>
          <w:szCs w:val="21"/>
          <w:highlight w:val="none"/>
        </w:rPr>
        <w:t>奖</w:t>
      </w:r>
      <w:r>
        <w:rPr>
          <w:rFonts w:hint="eastAsia" w:ascii="宋体" w:eastAsia="宋体"/>
          <w:b w:val="0"/>
          <w:bCs w:val="0"/>
          <w:color w:val="auto"/>
          <w:kern w:val="0"/>
          <w:sz w:val="24"/>
          <w:szCs w:val="21"/>
          <w:highlight w:val="none"/>
        </w:rPr>
        <w:t>学金评审</w:t>
      </w:r>
      <w:r>
        <w:rPr>
          <w:rFonts w:ascii="宋体" w:eastAsia="宋体"/>
          <w:b w:val="0"/>
          <w:bCs w:val="0"/>
          <w:color w:val="auto"/>
          <w:kern w:val="0"/>
          <w:sz w:val="24"/>
          <w:szCs w:val="21"/>
          <w:highlight w:val="none"/>
        </w:rPr>
        <w:t>小组，</w:t>
      </w:r>
      <w:r>
        <w:rPr>
          <w:rFonts w:hint="eastAsia" w:ascii="宋体" w:eastAsia="宋体"/>
          <w:b w:val="0"/>
          <w:bCs w:val="0"/>
          <w:color w:val="auto"/>
          <w:kern w:val="0"/>
          <w:sz w:val="24"/>
          <w:szCs w:val="21"/>
          <w:highlight w:val="none"/>
        </w:rPr>
        <w:t>坚持“公平、公正、公开”原则，开展</w:t>
      </w:r>
      <w:r>
        <w:rPr>
          <w:rFonts w:ascii="宋体" w:eastAsia="宋体"/>
          <w:b w:val="0"/>
          <w:bCs w:val="0"/>
          <w:color w:val="auto"/>
          <w:kern w:val="0"/>
          <w:sz w:val="24"/>
          <w:szCs w:val="21"/>
          <w:highlight w:val="none"/>
        </w:rPr>
        <w:t>研究生</w:t>
      </w:r>
      <w:r>
        <w:rPr>
          <w:rFonts w:hint="eastAsia" w:ascii="宋体" w:eastAsia="宋体"/>
          <w:b w:val="0"/>
          <w:bCs w:val="0"/>
          <w:color w:val="auto"/>
          <w:kern w:val="0"/>
          <w:sz w:val="24"/>
          <w:szCs w:val="21"/>
          <w:highlight w:val="none"/>
        </w:rPr>
        <w:t>学业</w:t>
      </w:r>
      <w:r>
        <w:rPr>
          <w:rFonts w:ascii="宋体" w:eastAsia="宋体"/>
          <w:b w:val="0"/>
          <w:bCs w:val="0"/>
          <w:color w:val="auto"/>
          <w:kern w:val="0"/>
          <w:sz w:val="24"/>
          <w:szCs w:val="21"/>
          <w:highlight w:val="none"/>
        </w:rPr>
        <w:t>奖学金</w:t>
      </w:r>
      <w:r>
        <w:rPr>
          <w:rFonts w:hint="eastAsia" w:ascii="宋体" w:eastAsia="宋体"/>
          <w:b w:val="0"/>
          <w:bCs w:val="0"/>
          <w:color w:val="auto"/>
          <w:kern w:val="0"/>
          <w:sz w:val="24"/>
          <w:szCs w:val="21"/>
          <w:highlight w:val="none"/>
        </w:rPr>
        <w:t>评定</w:t>
      </w:r>
      <w:r>
        <w:rPr>
          <w:rFonts w:ascii="宋体" w:eastAsia="宋体"/>
          <w:b w:val="0"/>
          <w:bCs w:val="0"/>
          <w:color w:val="auto"/>
          <w:kern w:val="0"/>
          <w:sz w:val="24"/>
          <w:szCs w:val="21"/>
          <w:highlight w:val="none"/>
        </w:rPr>
        <w:t>工作</w:t>
      </w:r>
      <w:r>
        <w:rPr>
          <w:rFonts w:hint="eastAsia" w:ascii="宋体" w:eastAsia="宋体"/>
          <w:b w:val="0"/>
          <w:bCs w:val="0"/>
          <w:color w:val="auto"/>
          <w:kern w:val="0"/>
          <w:sz w:val="24"/>
          <w:szCs w:val="21"/>
          <w:highlight w:val="none"/>
        </w:rPr>
        <w:t>。</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2</w:t>
      </w:r>
      <w:r>
        <w:rPr>
          <w:rFonts w:ascii="宋体" w:eastAsia="宋体"/>
          <w:b w:val="0"/>
          <w:bCs w:val="0"/>
          <w:color w:val="auto"/>
          <w:kern w:val="0"/>
          <w:sz w:val="24"/>
          <w:szCs w:val="21"/>
          <w:highlight w:val="none"/>
        </w:rPr>
        <w:t>.</w:t>
      </w:r>
      <w:r>
        <w:rPr>
          <w:rFonts w:hint="eastAsia" w:ascii="宋体" w:eastAsia="宋体"/>
          <w:b w:val="0"/>
          <w:bCs w:val="0"/>
          <w:color w:val="auto"/>
          <w:kern w:val="0"/>
          <w:sz w:val="24"/>
          <w:szCs w:val="21"/>
          <w:highlight w:val="none"/>
        </w:rPr>
        <w:t>10月12日前，评审小组在充分讨论及调研的基础上，形成2022年物流科学与工程研究院硕士研究生学业奖学金评选细则，公示无异议后，上报研究生院。</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3</w:t>
      </w:r>
      <w:r>
        <w:rPr>
          <w:rFonts w:ascii="宋体" w:eastAsia="宋体"/>
          <w:b w:val="0"/>
          <w:bCs w:val="0"/>
          <w:color w:val="auto"/>
          <w:kern w:val="0"/>
          <w:sz w:val="24"/>
          <w:szCs w:val="21"/>
          <w:highlight w:val="none"/>
        </w:rPr>
        <w:t>.</w:t>
      </w:r>
      <w:r>
        <w:rPr>
          <w:rFonts w:hint="eastAsia" w:ascii="宋体" w:eastAsia="宋体"/>
          <w:b w:val="0"/>
          <w:bCs w:val="0"/>
          <w:color w:val="auto"/>
          <w:kern w:val="0"/>
          <w:sz w:val="24"/>
          <w:szCs w:val="21"/>
          <w:highlight w:val="none"/>
        </w:rPr>
        <w:t>10月14日15：00前，学生提交申请材料</w:t>
      </w:r>
      <w:r>
        <w:rPr>
          <w:rFonts w:hint="eastAsia" w:ascii="宋体" w:eastAsia="宋体"/>
          <w:b w:val="0"/>
          <w:bCs w:val="0"/>
          <w:color w:val="auto"/>
          <w:kern w:val="0"/>
          <w:sz w:val="24"/>
          <w:szCs w:val="21"/>
          <w:highlight w:val="none"/>
          <w:lang w:eastAsia="zh-CN"/>
        </w:rPr>
        <w:t>（</w:t>
      </w:r>
      <w:r>
        <w:rPr>
          <w:rFonts w:hint="eastAsia" w:ascii="宋体" w:eastAsia="宋体"/>
          <w:b w:val="0"/>
          <w:bCs w:val="0"/>
          <w:color w:val="auto"/>
          <w:kern w:val="0"/>
          <w:sz w:val="24"/>
          <w:szCs w:val="21"/>
          <w:highlight w:val="none"/>
          <w:lang w:val="en-US" w:eastAsia="zh-CN"/>
        </w:rPr>
        <w:t>申请材料格式另行通知）</w:t>
      </w:r>
      <w:r>
        <w:rPr>
          <w:rFonts w:hint="eastAsia" w:ascii="宋体" w:eastAsia="宋体"/>
          <w:b w:val="0"/>
          <w:bCs w:val="0"/>
          <w:color w:val="auto"/>
          <w:kern w:val="0"/>
          <w:sz w:val="24"/>
          <w:szCs w:val="21"/>
          <w:highlight w:val="none"/>
        </w:rPr>
        <w:t>。</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4.10月27日前，根据申请材料，组织评选，形成2022年物流科学与工程研究院硕士</w:t>
      </w:r>
      <w:r>
        <w:rPr>
          <w:rFonts w:ascii="宋体" w:eastAsia="宋体"/>
          <w:b w:val="0"/>
          <w:bCs w:val="0"/>
          <w:color w:val="auto"/>
          <w:kern w:val="0"/>
          <w:sz w:val="24"/>
          <w:szCs w:val="21"/>
          <w:highlight w:val="none"/>
        </w:rPr>
        <w:t>研究生学业奖学金推荐名单，并在</w:t>
      </w:r>
      <w:r>
        <w:rPr>
          <w:rFonts w:hint="eastAsia" w:ascii="宋体" w:eastAsia="宋体"/>
          <w:b w:val="0"/>
          <w:bCs w:val="0"/>
          <w:color w:val="auto"/>
          <w:kern w:val="0"/>
          <w:sz w:val="24"/>
          <w:szCs w:val="21"/>
          <w:highlight w:val="none"/>
        </w:rPr>
        <w:t>物流科学与工程研究院</w:t>
      </w:r>
      <w:r>
        <w:rPr>
          <w:rFonts w:ascii="宋体" w:eastAsia="宋体"/>
          <w:b w:val="0"/>
          <w:bCs w:val="0"/>
          <w:color w:val="auto"/>
          <w:kern w:val="0"/>
          <w:sz w:val="24"/>
          <w:szCs w:val="21"/>
          <w:highlight w:val="none"/>
        </w:rPr>
        <w:t>网站公示</w:t>
      </w:r>
      <w:r>
        <w:rPr>
          <w:rFonts w:hint="eastAsia" w:ascii="宋体" w:eastAsia="宋体"/>
          <w:b w:val="0"/>
          <w:bCs w:val="0"/>
          <w:color w:val="auto"/>
          <w:kern w:val="0"/>
          <w:sz w:val="24"/>
          <w:szCs w:val="21"/>
          <w:highlight w:val="none"/>
        </w:rPr>
        <w:t>五个工作日。</w:t>
      </w:r>
    </w:p>
    <w:p>
      <w:pPr>
        <w:pStyle w:val="13"/>
        <w:spacing w:beforeLines="0" w:afterLines="0" w:line="420" w:lineRule="exact"/>
        <w:ind w:firstLine="472" w:firstLineChars="197"/>
        <w:rPr>
          <w:rFonts w:ascii="宋体"/>
          <w:b w:val="0"/>
          <w:color w:val="auto"/>
          <w:kern w:val="0"/>
          <w:sz w:val="24"/>
          <w:szCs w:val="21"/>
          <w:highlight w:val="none"/>
        </w:rPr>
      </w:pPr>
      <w:r>
        <w:rPr>
          <w:rFonts w:hint="eastAsia" w:ascii="宋体" w:eastAsia="宋体"/>
          <w:b w:val="0"/>
          <w:bCs w:val="0"/>
          <w:color w:val="auto"/>
          <w:kern w:val="0"/>
          <w:sz w:val="24"/>
          <w:szCs w:val="21"/>
          <w:highlight w:val="none"/>
        </w:rPr>
        <w:t>5</w:t>
      </w:r>
      <w:r>
        <w:rPr>
          <w:rFonts w:ascii="宋体" w:eastAsia="宋体"/>
          <w:b w:val="0"/>
          <w:bCs w:val="0"/>
          <w:color w:val="auto"/>
          <w:kern w:val="0"/>
          <w:sz w:val="24"/>
          <w:szCs w:val="21"/>
          <w:highlight w:val="none"/>
        </w:rPr>
        <w:t>.</w:t>
      </w:r>
      <w:r>
        <w:rPr>
          <w:rFonts w:hint="eastAsia" w:ascii="宋体" w:eastAsia="宋体"/>
          <w:b w:val="0"/>
          <w:bCs w:val="0"/>
          <w:color w:val="auto"/>
          <w:kern w:val="0"/>
          <w:sz w:val="24"/>
          <w:szCs w:val="21"/>
          <w:highlight w:val="none"/>
        </w:rPr>
        <w:t>11月2日前，公示</w:t>
      </w:r>
      <w:r>
        <w:rPr>
          <w:rFonts w:ascii="宋体" w:eastAsia="宋体"/>
          <w:b w:val="0"/>
          <w:bCs w:val="0"/>
          <w:color w:val="auto"/>
          <w:kern w:val="0"/>
          <w:sz w:val="24"/>
          <w:szCs w:val="21"/>
          <w:highlight w:val="none"/>
        </w:rPr>
        <w:t>无异议后</w:t>
      </w:r>
      <w:r>
        <w:rPr>
          <w:rFonts w:hint="eastAsia" w:ascii="宋体" w:eastAsia="宋体"/>
          <w:b w:val="0"/>
          <w:bCs w:val="0"/>
          <w:color w:val="auto"/>
          <w:kern w:val="0"/>
          <w:sz w:val="24"/>
          <w:szCs w:val="21"/>
          <w:highlight w:val="none"/>
        </w:rPr>
        <w:t>，物科院将经公示无异议的2022年研究生学业奖学金推荐名单电子版、纸质版和申请表纸质版等材料提交研究生院。</w:t>
      </w:r>
    </w:p>
    <w:p>
      <w:pPr>
        <w:snapToGrid w:val="0"/>
        <w:spacing w:line="420" w:lineRule="exact"/>
        <w:ind w:firstLine="465"/>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六、异议处理</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对学业奖学金评审结果有任何异议，可在公示阶段以书面形式向物流科学与工程研究院反映。</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联系人：黄老师(2020级、2021级)   王老师（2022级）</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联系地址：科研楼417B   417A</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联系电话：021-3828460</w:t>
      </w:r>
      <w:r>
        <w:rPr>
          <w:rFonts w:ascii="宋体" w:eastAsia="宋体"/>
          <w:b w:val="0"/>
          <w:bCs w:val="0"/>
          <w:color w:val="auto"/>
          <w:kern w:val="0"/>
          <w:sz w:val="24"/>
          <w:szCs w:val="21"/>
          <w:highlight w:val="none"/>
        </w:rPr>
        <w:t>8</w:t>
      </w:r>
      <w:r>
        <w:rPr>
          <w:rFonts w:hint="eastAsia" w:ascii="宋体" w:eastAsia="宋体"/>
          <w:b w:val="0"/>
          <w:bCs w:val="0"/>
          <w:color w:val="auto"/>
          <w:kern w:val="0"/>
          <w:sz w:val="24"/>
          <w:szCs w:val="21"/>
          <w:highlight w:val="none"/>
        </w:rPr>
        <w:t xml:space="preserve">      38284600</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邮箱：</w:t>
      </w:r>
      <w:r>
        <w:rPr>
          <w:rFonts w:ascii="宋体" w:eastAsia="宋体"/>
          <w:b w:val="0"/>
          <w:bCs w:val="0"/>
          <w:color w:val="auto"/>
          <w:kern w:val="0"/>
          <w:sz w:val="24"/>
          <w:szCs w:val="21"/>
          <w:highlight w:val="none"/>
        </w:rPr>
        <w:t>fenhuang@shmtu.edu.cn</w:t>
      </w:r>
    </w:p>
    <w:p>
      <w:pPr>
        <w:pStyle w:val="13"/>
        <w:spacing w:beforeLines="0" w:afterLines="0" w:line="420" w:lineRule="exact"/>
        <w:ind w:firstLine="482" w:firstLineChars="200"/>
        <w:rPr>
          <w:rFonts w:ascii="宋体" w:eastAsia="宋体"/>
          <w:bCs w:val="0"/>
          <w:color w:val="auto"/>
          <w:kern w:val="0"/>
          <w:sz w:val="24"/>
          <w:szCs w:val="21"/>
          <w:highlight w:val="none"/>
        </w:rPr>
      </w:pPr>
      <w:r>
        <w:rPr>
          <w:rFonts w:hint="eastAsia" w:ascii="宋体" w:eastAsia="宋体"/>
          <w:bCs w:val="0"/>
          <w:color w:val="auto"/>
          <w:kern w:val="0"/>
          <w:sz w:val="24"/>
          <w:szCs w:val="21"/>
          <w:highlight w:val="none"/>
        </w:rPr>
        <w:t>七</w:t>
      </w:r>
      <w:r>
        <w:rPr>
          <w:rFonts w:ascii="宋体" w:eastAsia="宋体"/>
          <w:bCs w:val="0"/>
          <w:color w:val="auto"/>
          <w:kern w:val="0"/>
          <w:sz w:val="24"/>
          <w:szCs w:val="21"/>
          <w:highlight w:val="none"/>
        </w:rPr>
        <w:t>、附则</w:t>
      </w:r>
    </w:p>
    <w:p>
      <w:pPr>
        <w:pStyle w:val="13"/>
        <w:spacing w:beforeLines="0" w:afterLines="0" w:line="360" w:lineRule="auto"/>
        <w:ind w:firstLine="480" w:firstLineChars="200"/>
        <w:rPr>
          <w:rFonts w:asciiTheme="minorEastAsia" w:hAnsiTheme="minorEastAsia" w:eastAsiaTheme="minorEastAsia"/>
          <w:b w:val="0"/>
          <w:color w:val="auto"/>
          <w:sz w:val="24"/>
          <w:szCs w:val="24"/>
          <w:highlight w:val="none"/>
        </w:rPr>
      </w:pPr>
      <w:r>
        <w:rPr>
          <w:rFonts w:asciiTheme="minorEastAsia" w:hAnsiTheme="minorEastAsia" w:eastAsiaTheme="minorEastAsia"/>
          <w:b w:val="0"/>
          <w:color w:val="auto"/>
          <w:sz w:val="24"/>
          <w:szCs w:val="24"/>
          <w:highlight w:val="none"/>
        </w:rPr>
        <w:t>本细则由</w:t>
      </w:r>
      <w:r>
        <w:rPr>
          <w:rFonts w:hint="eastAsia" w:asciiTheme="minorEastAsia" w:hAnsiTheme="minorEastAsia" w:eastAsiaTheme="minorEastAsia"/>
          <w:b w:val="0"/>
          <w:color w:val="auto"/>
          <w:sz w:val="24"/>
          <w:szCs w:val="24"/>
          <w:highlight w:val="none"/>
        </w:rPr>
        <w:t>物流科学与工程研究院</w:t>
      </w:r>
      <w:r>
        <w:rPr>
          <w:rFonts w:asciiTheme="minorEastAsia" w:hAnsiTheme="minorEastAsia" w:eastAsiaTheme="minorEastAsia"/>
          <w:b w:val="0"/>
          <w:color w:val="auto"/>
          <w:sz w:val="24"/>
          <w:szCs w:val="24"/>
          <w:highlight w:val="none"/>
        </w:rPr>
        <w:t>负责解释</w:t>
      </w:r>
      <w:r>
        <w:rPr>
          <w:rFonts w:hint="eastAsia" w:asciiTheme="minorEastAsia" w:hAnsiTheme="minorEastAsia" w:eastAsiaTheme="minorEastAsia"/>
          <w:b w:val="0"/>
          <w:color w:val="auto"/>
          <w:sz w:val="24"/>
          <w:szCs w:val="24"/>
          <w:highlight w:val="none"/>
        </w:rPr>
        <w:t>，</w:t>
      </w:r>
      <w:r>
        <w:rPr>
          <w:rFonts w:asciiTheme="minorEastAsia" w:hAnsiTheme="minorEastAsia" w:eastAsiaTheme="minorEastAsia"/>
          <w:b w:val="0"/>
          <w:color w:val="auto"/>
          <w:sz w:val="24"/>
          <w:szCs w:val="24"/>
          <w:highlight w:val="none"/>
        </w:rPr>
        <w:t>其他未尽事宜，由</w:t>
      </w:r>
      <w:r>
        <w:rPr>
          <w:rFonts w:hint="eastAsia" w:asciiTheme="minorEastAsia" w:hAnsiTheme="minorEastAsia" w:eastAsiaTheme="minorEastAsia"/>
          <w:b w:val="0"/>
          <w:color w:val="auto"/>
          <w:sz w:val="24"/>
          <w:szCs w:val="24"/>
          <w:highlight w:val="none"/>
        </w:rPr>
        <w:t>物流科学与工程研究院</w:t>
      </w:r>
      <w:r>
        <w:rPr>
          <w:rFonts w:asciiTheme="minorEastAsia" w:hAnsiTheme="minorEastAsia" w:eastAsiaTheme="minorEastAsia"/>
          <w:b w:val="0"/>
          <w:color w:val="auto"/>
          <w:sz w:val="24"/>
          <w:szCs w:val="24"/>
          <w:highlight w:val="none"/>
        </w:rPr>
        <w:t>研究生</w:t>
      </w:r>
      <w:r>
        <w:rPr>
          <w:rFonts w:hint="eastAsia" w:asciiTheme="minorEastAsia" w:hAnsiTheme="minorEastAsia" w:eastAsiaTheme="minorEastAsia"/>
          <w:b w:val="0"/>
          <w:color w:val="auto"/>
          <w:sz w:val="24"/>
          <w:szCs w:val="24"/>
          <w:highlight w:val="none"/>
        </w:rPr>
        <w:t>奖助</w:t>
      </w:r>
      <w:r>
        <w:rPr>
          <w:rFonts w:asciiTheme="minorEastAsia" w:hAnsiTheme="minorEastAsia" w:eastAsiaTheme="minorEastAsia"/>
          <w:b w:val="0"/>
          <w:color w:val="auto"/>
          <w:sz w:val="24"/>
          <w:szCs w:val="24"/>
          <w:highlight w:val="none"/>
        </w:rPr>
        <w:t>学金评审小组酌情决定。</w:t>
      </w:r>
    </w:p>
    <w:p>
      <w:pPr>
        <w:pStyle w:val="13"/>
        <w:spacing w:beforeLines="0" w:afterLines="0" w:line="420" w:lineRule="exact"/>
        <w:ind w:firstLine="472" w:firstLineChars="197"/>
        <w:rPr>
          <w:rFonts w:ascii="宋体" w:eastAsia="宋体"/>
          <w:b w:val="0"/>
          <w:bCs w:val="0"/>
          <w:color w:val="auto"/>
          <w:kern w:val="0"/>
          <w:sz w:val="24"/>
          <w:szCs w:val="21"/>
          <w:highlight w:val="none"/>
        </w:rPr>
      </w:pPr>
    </w:p>
    <w:p>
      <w:pPr>
        <w:pStyle w:val="13"/>
        <w:spacing w:beforeLines="0" w:afterLines="0" w:line="420" w:lineRule="exact"/>
        <w:ind w:firstLine="5392" w:firstLineChars="224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物流科学与工程研究院</w:t>
      </w:r>
    </w:p>
    <w:p>
      <w:pPr>
        <w:pStyle w:val="13"/>
        <w:spacing w:beforeLines="0" w:afterLines="0" w:line="420" w:lineRule="exact"/>
        <w:ind w:firstLine="472" w:firstLineChars="197"/>
        <w:rPr>
          <w:rFonts w:ascii="宋体" w:eastAsia="宋体"/>
          <w:b w:val="0"/>
          <w:bCs w:val="0"/>
          <w:color w:val="auto"/>
          <w:kern w:val="0"/>
          <w:sz w:val="24"/>
          <w:szCs w:val="21"/>
          <w:highlight w:val="none"/>
        </w:rPr>
      </w:pPr>
      <w:r>
        <w:rPr>
          <w:rFonts w:hint="eastAsia" w:ascii="宋体" w:eastAsia="宋体"/>
          <w:b w:val="0"/>
          <w:bCs w:val="0"/>
          <w:color w:val="auto"/>
          <w:kern w:val="0"/>
          <w:sz w:val="24"/>
          <w:szCs w:val="21"/>
          <w:highlight w:val="none"/>
        </w:rPr>
        <w:t xml:space="preserve">                                           2022年</w:t>
      </w:r>
      <w:r>
        <w:rPr>
          <w:rFonts w:hint="eastAsia" w:ascii="宋体" w:eastAsia="宋体"/>
          <w:b w:val="0"/>
          <w:bCs w:val="0"/>
          <w:color w:val="auto"/>
          <w:kern w:val="0"/>
          <w:sz w:val="24"/>
          <w:szCs w:val="21"/>
          <w:highlight w:val="none"/>
          <w:lang w:val="en-US" w:eastAsia="zh-CN"/>
        </w:rPr>
        <w:t>9</w:t>
      </w:r>
      <w:r>
        <w:rPr>
          <w:rFonts w:hint="eastAsia" w:ascii="宋体" w:eastAsia="宋体"/>
          <w:b w:val="0"/>
          <w:bCs w:val="0"/>
          <w:color w:val="auto"/>
          <w:kern w:val="0"/>
          <w:sz w:val="24"/>
          <w:szCs w:val="21"/>
          <w:highlight w:val="none"/>
        </w:rPr>
        <w:t>月</w:t>
      </w:r>
      <w:r>
        <w:rPr>
          <w:rFonts w:hint="eastAsia" w:ascii="宋体" w:eastAsia="宋体"/>
          <w:b w:val="0"/>
          <w:bCs w:val="0"/>
          <w:color w:val="auto"/>
          <w:kern w:val="0"/>
          <w:sz w:val="24"/>
          <w:szCs w:val="21"/>
          <w:highlight w:val="none"/>
          <w:lang w:val="en-US" w:eastAsia="zh-CN"/>
        </w:rPr>
        <w:t>28</w:t>
      </w:r>
      <w:r>
        <w:rPr>
          <w:rFonts w:hint="eastAsia" w:ascii="宋体" w:eastAsia="宋体"/>
          <w:b w:val="0"/>
          <w:bCs w:val="0"/>
          <w:color w:val="auto"/>
          <w:kern w:val="0"/>
          <w:sz w:val="24"/>
          <w:szCs w:val="21"/>
          <w:highlight w:val="none"/>
        </w:rPr>
        <w:t>日</w:t>
      </w:r>
    </w:p>
    <w:p>
      <w:pPr>
        <w:widowControl/>
        <w:jc w:val="left"/>
        <w:rPr>
          <w:rFonts w:ascii="宋体"/>
          <w:color w:val="auto"/>
          <w:kern w:val="0"/>
          <w:sz w:val="24"/>
          <w:szCs w:val="21"/>
          <w:highlight w:val="none"/>
        </w:rPr>
        <w:sectPr>
          <w:pgSz w:w="11906" w:h="16838"/>
          <w:pgMar w:top="993" w:right="1416" w:bottom="993" w:left="1800" w:header="851" w:footer="992" w:gutter="0"/>
          <w:cols w:space="425" w:num="1"/>
          <w:docGrid w:type="lines" w:linePitch="312" w:charSpace="0"/>
        </w:sectPr>
      </w:pPr>
      <w:r>
        <w:rPr>
          <w:rFonts w:ascii="宋体"/>
          <w:color w:val="auto"/>
          <w:kern w:val="0"/>
          <w:sz w:val="24"/>
          <w:szCs w:val="21"/>
          <w:highlight w:val="none"/>
        </w:rPr>
        <w:br w:type="page"/>
      </w:r>
      <w:bookmarkStart w:id="0" w:name="_GoBack"/>
      <w:bookmarkEnd w:id="0"/>
    </w:p>
    <w:p>
      <w:pPr>
        <w:tabs>
          <w:tab w:val="left" w:pos="284"/>
        </w:tabs>
        <w:spacing w:line="360" w:lineRule="exact"/>
        <w:jc w:val="center"/>
        <w:rPr>
          <w:rFonts w:ascii="宋体"/>
          <w:color w:val="auto"/>
          <w:kern w:val="0"/>
          <w:sz w:val="28"/>
          <w:szCs w:val="21"/>
          <w:highlight w:val="none"/>
        </w:rPr>
      </w:pPr>
      <w:r>
        <w:rPr>
          <w:rFonts w:hint="eastAsia" w:ascii="inherit" w:hAnsi="inherit" w:cs="宋体"/>
          <w:color w:val="auto"/>
          <w:kern w:val="0"/>
          <w:sz w:val="28"/>
          <w:highlight w:val="none"/>
        </w:rPr>
        <w:t>《物流科学与工程研究院2022年硕士研究生</w:t>
      </w:r>
      <w:r>
        <w:rPr>
          <w:rFonts w:hint="eastAsia" w:ascii="宋体"/>
          <w:color w:val="auto"/>
          <w:kern w:val="0"/>
          <w:sz w:val="28"/>
          <w:szCs w:val="21"/>
          <w:highlight w:val="none"/>
        </w:rPr>
        <w:t>学业奖学金综合评价指标》</w:t>
      </w:r>
    </w:p>
    <w:p>
      <w:pPr>
        <w:tabs>
          <w:tab w:val="left" w:pos="284"/>
        </w:tabs>
        <w:spacing w:line="360" w:lineRule="exact"/>
        <w:jc w:val="center"/>
        <w:rPr>
          <w:rFonts w:ascii="宋体"/>
          <w:color w:val="auto"/>
          <w:kern w:val="0"/>
          <w:sz w:val="28"/>
          <w:szCs w:val="21"/>
          <w:highlight w:val="none"/>
        </w:rPr>
      </w:pPr>
    </w:p>
    <w:tbl>
      <w:tblPr>
        <w:tblStyle w:val="9"/>
        <w:tblpPr w:leftFromText="180" w:rightFromText="180" w:vertAnchor="text" w:horzAnchor="page" w:tblpX="1148" w:tblpY="184"/>
        <w:tblOverlap w:val="neve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26"/>
        <w:gridCol w:w="708"/>
        <w:gridCol w:w="5679"/>
        <w:gridCol w:w="1980"/>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675" w:type="dxa"/>
            <w:vAlign w:val="center"/>
          </w:tcPr>
          <w:p>
            <w:pPr>
              <w:jc w:val="center"/>
              <w:rPr>
                <w:b/>
                <w:bCs/>
                <w:color w:val="auto"/>
                <w:highlight w:val="none"/>
              </w:rPr>
            </w:pPr>
            <w:r>
              <w:rPr>
                <w:rFonts w:hint="eastAsia"/>
                <w:b/>
                <w:bCs/>
                <w:color w:val="auto"/>
                <w:highlight w:val="none"/>
              </w:rPr>
              <w:t>一级指标</w:t>
            </w:r>
          </w:p>
        </w:tc>
        <w:tc>
          <w:tcPr>
            <w:tcW w:w="6813" w:type="dxa"/>
            <w:gridSpan w:val="3"/>
            <w:vAlign w:val="center"/>
          </w:tcPr>
          <w:p>
            <w:pPr>
              <w:jc w:val="center"/>
              <w:rPr>
                <w:b/>
                <w:bCs/>
                <w:color w:val="auto"/>
                <w:highlight w:val="none"/>
              </w:rPr>
            </w:pPr>
            <w:r>
              <w:rPr>
                <w:rFonts w:hint="eastAsia"/>
                <w:b/>
                <w:bCs/>
                <w:color w:val="auto"/>
                <w:highlight w:val="none"/>
              </w:rPr>
              <w:t>二级指标</w:t>
            </w:r>
          </w:p>
        </w:tc>
        <w:tc>
          <w:tcPr>
            <w:tcW w:w="1980" w:type="dxa"/>
            <w:vAlign w:val="center"/>
          </w:tcPr>
          <w:p>
            <w:pPr>
              <w:jc w:val="center"/>
              <w:rPr>
                <w:b/>
                <w:bCs/>
                <w:color w:val="auto"/>
                <w:highlight w:val="none"/>
              </w:rPr>
            </w:pPr>
            <w:r>
              <w:rPr>
                <w:rFonts w:hint="eastAsia"/>
                <w:b/>
                <w:bCs/>
                <w:color w:val="auto"/>
                <w:highlight w:val="none"/>
              </w:rPr>
              <w:t>分值</w:t>
            </w:r>
          </w:p>
        </w:tc>
        <w:tc>
          <w:tcPr>
            <w:tcW w:w="846" w:type="dxa"/>
            <w:vAlign w:val="center"/>
          </w:tcPr>
          <w:p>
            <w:pPr>
              <w:spacing w:line="240" w:lineRule="exact"/>
              <w:jc w:val="center"/>
              <w:rPr>
                <w:b/>
                <w:bCs/>
                <w:color w:val="auto"/>
                <w:szCs w:val="21"/>
                <w:highlight w:val="none"/>
              </w:rPr>
            </w:pPr>
            <w:r>
              <w:rPr>
                <w:rFonts w:hint="eastAsia"/>
                <w:b/>
                <w:bCs/>
                <w:color w:val="auto"/>
                <w:szCs w:val="21"/>
                <w:highlight w:val="none"/>
              </w:rPr>
              <w:t>测评</w:t>
            </w:r>
          </w:p>
          <w:p>
            <w:pPr>
              <w:jc w:val="center"/>
              <w:rPr>
                <w:b/>
                <w:bCs/>
                <w:color w:val="auto"/>
                <w:highlight w:val="none"/>
              </w:rPr>
            </w:pPr>
            <w:r>
              <w:rPr>
                <w:rFonts w:hint="eastAsia"/>
                <w:b/>
                <w:bCs/>
                <w:color w:val="auto"/>
                <w:szCs w:val="21"/>
                <w:highlight w:val="none"/>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7488" w:type="dxa"/>
            <w:gridSpan w:val="4"/>
            <w:vAlign w:val="center"/>
          </w:tcPr>
          <w:p>
            <w:pPr>
              <w:jc w:val="center"/>
              <w:rPr>
                <w:b/>
                <w:bCs/>
                <w:color w:val="auto"/>
                <w:highlight w:val="none"/>
              </w:rPr>
            </w:pPr>
            <w:r>
              <w:rPr>
                <w:rFonts w:hint="eastAsia"/>
                <w:b/>
                <w:bCs/>
                <w:color w:val="auto"/>
                <w:highlight w:val="none"/>
              </w:rPr>
              <w:t>课程成绩（二年级）</w:t>
            </w:r>
          </w:p>
        </w:tc>
        <w:tc>
          <w:tcPr>
            <w:tcW w:w="1980" w:type="dxa"/>
            <w:vAlign w:val="center"/>
          </w:tcPr>
          <w:p>
            <w:pPr>
              <w:jc w:val="center"/>
              <w:rPr>
                <w:b/>
                <w:bCs/>
                <w:color w:val="auto"/>
                <w:highlight w:val="none"/>
              </w:rPr>
            </w:pPr>
            <w:r>
              <w:rPr>
                <w:rFonts w:hint="eastAsia"/>
                <w:b/>
                <w:bCs/>
                <w:color w:val="auto"/>
                <w:highlight w:val="none"/>
              </w:rPr>
              <w:t>按照实际成绩计算</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vMerge w:val="restart"/>
            <w:vAlign w:val="center"/>
          </w:tcPr>
          <w:p>
            <w:pPr>
              <w:jc w:val="center"/>
              <w:rPr>
                <w:rFonts w:ascii="inherit" w:hAnsi="inherit" w:cs="宋体"/>
                <w:color w:val="auto"/>
                <w:kern w:val="0"/>
                <w:sz w:val="24"/>
                <w:highlight w:val="none"/>
              </w:rPr>
            </w:pPr>
            <w:r>
              <w:rPr>
                <w:rFonts w:hint="eastAsia" w:ascii="inherit" w:hAnsi="inherit" w:cs="宋体"/>
                <w:color w:val="auto"/>
                <w:kern w:val="0"/>
                <w:sz w:val="24"/>
                <w:highlight w:val="none"/>
              </w:rPr>
              <w:t>科创实践综合分</w:t>
            </w:r>
          </w:p>
          <w:p>
            <w:pPr>
              <w:jc w:val="center"/>
              <w:rPr>
                <w:color w:val="auto"/>
                <w:highlight w:val="none"/>
              </w:rPr>
            </w:pPr>
            <w:r>
              <w:rPr>
                <w:rFonts w:hint="eastAsia" w:ascii="inherit" w:hAnsi="inherit" w:cs="宋体"/>
                <w:color w:val="auto"/>
                <w:kern w:val="0"/>
                <w:sz w:val="24"/>
                <w:highlight w:val="none"/>
              </w:rPr>
              <w:t>*</w:t>
            </w:r>
            <w:r>
              <w:rPr>
                <w:rFonts w:hint="eastAsia" w:ascii="inherit" w:hAnsi="inherit" w:cs="宋体"/>
                <w:color w:val="auto"/>
                <w:kern w:val="0"/>
                <w:sz w:val="20"/>
                <w:highlight w:val="none"/>
              </w:rPr>
              <w:t>（二、三年级）</w:t>
            </w:r>
          </w:p>
        </w:tc>
        <w:tc>
          <w:tcPr>
            <w:tcW w:w="426" w:type="dxa"/>
            <w:vMerge w:val="restart"/>
            <w:vAlign w:val="center"/>
          </w:tcPr>
          <w:p>
            <w:pPr>
              <w:jc w:val="center"/>
              <w:rPr>
                <w:color w:val="auto"/>
                <w:highlight w:val="none"/>
              </w:rPr>
            </w:pPr>
            <w:r>
              <w:rPr>
                <w:rFonts w:hint="eastAsia"/>
                <w:color w:val="auto"/>
                <w:highlight w:val="none"/>
              </w:rPr>
              <w:t>学术论文</w:t>
            </w:r>
          </w:p>
        </w:tc>
        <w:tc>
          <w:tcPr>
            <w:tcW w:w="708" w:type="dxa"/>
            <w:vMerge w:val="restart"/>
            <w:vAlign w:val="center"/>
          </w:tcPr>
          <w:p>
            <w:pPr>
              <w:jc w:val="center"/>
              <w:rPr>
                <w:color w:val="auto"/>
                <w:highlight w:val="none"/>
              </w:rPr>
            </w:pPr>
            <w:r>
              <w:rPr>
                <w:rFonts w:hint="eastAsia"/>
                <w:color w:val="auto"/>
                <w:highlight w:val="none"/>
              </w:rPr>
              <w:t>A类</w:t>
            </w: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A0：ESI高被引或热点论文；求是</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Merge w:val="continue"/>
          </w:tcPr>
          <w:p>
            <w:pPr>
              <w:rPr>
                <w:color w:val="auto"/>
                <w:highlight w:val="none"/>
              </w:rPr>
            </w:pP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A1：SCI，SSCI一区论文；UT/DALLAS 界定的24种期刊上发表的论文；中国社会科学（中文版）；领军期刊</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Merge w:val="continue"/>
          </w:tcPr>
          <w:p>
            <w:pPr>
              <w:rPr>
                <w:color w:val="auto"/>
                <w:highlight w:val="none"/>
              </w:rPr>
            </w:pP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A2：SCI，SSCI二区论文；重点类期刊；《新华文摘》（封面标题论文）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Merge w:val="continue"/>
          </w:tcPr>
          <w:p>
            <w:pPr>
              <w:rPr>
                <w:color w:val="auto"/>
                <w:highlight w:val="none"/>
              </w:rPr>
            </w:pP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A3：SCI，SSCI三区论文；梯队期刊；中国社会科学（外文版）；主要内容被《新华文摘》转载的（不含论点摘编）学术论文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Merge w:val="continue"/>
          </w:tcPr>
          <w:p>
            <w:pPr>
              <w:rPr>
                <w:color w:val="auto"/>
                <w:highlight w:val="none"/>
              </w:rPr>
            </w:pP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A4：SCI，SSCI四区及未纳入分区论文；CSSCI各学科排名前3的期刊；被A&amp;HCI（艺术人文科学引文索引）检索的期刊论文；主要内容被《中国社会科学文摘》转载的（不含论点摘编）学术论文；《人民日报》和《光明日报》理论版</w:t>
            </w:r>
          </w:p>
          <w:p>
            <w:pPr>
              <w:rPr>
                <w:rFonts w:ascii="宋体" w:hAnsi="宋体" w:cs="宋体"/>
                <w:color w:val="auto"/>
                <w:szCs w:val="21"/>
                <w:highlight w:val="none"/>
              </w:rPr>
            </w:pPr>
            <w:r>
              <w:rPr>
                <w:rFonts w:hint="eastAsia" w:ascii="宋体" w:hAnsi="宋体" w:cs="宋体"/>
                <w:color w:val="auto"/>
                <w:szCs w:val="21"/>
                <w:highlight w:val="none"/>
              </w:rPr>
              <w:t>中国航海学会学术年会一等奖论文；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Align w:val="center"/>
          </w:tcPr>
          <w:p>
            <w:pPr>
              <w:jc w:val="center"/>
              <w:rPr>
                <w:color w:val="auto"/>
                <w:highlight w:val="none"/>
              </w:rPr>
            </w:pPr>
            <w:r>
              <w:rPr>
                <w:rFonts w:hint="eastAsia"/>
                <w:color w:val="auto"/>
                <w:highlight w:val="none"/>
              </w:rPr>
              <w:t>B类</w:t>
            </w:r>
          </w:p>
        </w:tc>
        <w:tc>
          <w:tcPr>
            <w:tcW w:w="5679" w:type="dxa"/>
            <w:vAlign w:val="center"/>
          </w:tcPr>
          <w:p>
            <w:pPr>
              <w:rPr>
                <w:rFonts w:ascii="宋体" w:hAnsi="宋体" w:cs="宋体"/>
                <w:color w:val="auto"/>
                <w:szCs w:val="21"/>
                <w:highlight w:val="none"/>
              </w:rPr>
            </w:pPr>
            <w:r>
              <w:rPr>
                <w:rFonts w:hint="eastAsia" w:ascii="宋体" w:hAnsi="宋体" w:cs="宋体"/>
                <w:color w:val="auto"/>
                <w:szCs w:val="21"/>
                <w:highlight w:val="none"/>
              </w:rPr>
              <w:t>被EI检索的期刊论文；CSSCI各学科排名前4-8的期刊；《经济日报》和《解放军报》理论版；被中共中央办公厅《专报》和《观点摘编》、国家社科基金《成果要报》等收录的决策咨询成果；</w:t>
            </w:r>
          </w:p>
          <w:p>
            <w:pPr>
              <w:rPr>
                <w:rFonts w:ascii="宋体" w:hAnsi="宋体" w:cs="宋体"/>
                <w:color w:val="auto"/>
                <w:szCs w:val="21"/>
                <w:highlight w:val="none"/>
              </w:rPr>
            </w:pPr>
            <w:r>
              <w:rPr>
                <w:rFonts w:hint="eastAsia" w:ascii="宋体" w:hAnsi="宋体" w:cs="宋体"/>
                <w:color w:val="auto"/>
                <w:szCs w:val="21"/>
                <w:highlight w:val="none"/>
              </w:rPr>
              <w:t>中国物流学术年会一等奖论文；中国航海学会学术年会二等奖论文；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Align w:val="center"/>
          </w:tcPr>
          <w:p>
            <w:pPr>
              <w:jc w:val="center"/>
              <w:rPr>
                <w:color w:val="auto"/>
                <w:highlight w:val="none"/>
              </w:rPr>
            </w:pPr>
            <w:r>
              <w:rPr>
                <w:rFonts w:hint="eastAsia"/>
                <w:color w:val="auto"/>
                <w:highlight w:val="none"/>
              </w:rPr>
              <w:t>C类</w:t>
            </w: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除A、B二类期刊外，中文权威期刊上发表的论文；《人大复印资料》全文转载的学术论文；《高等学校文科学术文摘》全文转载的学术论文；</w:t>
            </w:r>
          </w:p>
          <w:p>
            <w:pPr>
              <w:rPr>
                <w:rFonts w:ascii="宋体" w:hAnsi="宋体" w:cs="宋体"/>
                <w:color w:val="auto"/>
                <w:szCs w:val="21"/>
                <w:highlight w:val="none"/>
              </w:rPr>
            </w:pPr>
            <w:r>
              <w:rPr>
                <w:rFonts w:hint="eastAsia" w:ascii="宋体" w:hAnsi="宋体" w:cs="宋体"/>
                <w:color w:val="auto"/>
                <w:szCs w:val="21"/>
                <w:highlight w:val="none"/>
              </w:rPr>
              <w:t>《文汇报》、《解放日报》以及各省（直辖市）委机关报理论版上发表的理论文章；被各部委主办的要报、决策参考、市政府发展研究中心《专家反映》和《决策参考信息》、上海社科规划办《成果要报》等收录的决策咨询成果；</w:t>
            </w:r>
          </w:p>
          <w:p>
            <w:pPr>
              <w:rPr>
                <w:rFonts w:ascii="宋体" w:hAnsi="宋体" w:cs="宋体"/>
                <w:color w:val="auto"/>
                <w:szCs w:val="21"/>
                <w:highlight w:val="none"/>
              </w:rPr>
            </w:pPr>
            <w:r>
              <w:rPr>
                <w:rFonts w:hint="eastAsia" w:ascii="宋体" w:hAnsi="宋体" w:cs="宋体"/>
                <w:color w:val="auto"/>
                <w:szCs w:val="21"/>
                <w:highlight w:val="none"/>
              </w:rPr>
              <w:t>中国物流学术年会二等奖论文；中国航海学会学术年会三等奖论文；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tcPr>
          <w:p>
            <w:pPr>
              <w:rPr>
                <w:color w:val="auto"/>
                <w:highlight w:val="none"/>
              </w:rPr>
            </w:pPr>
          </w:p>
        </w:tc>
        <w:tc>
          <w:tcPr>
            <w:tcW w:w="426" w:type="dxa"/>
            <w:vMerge w:val="continue"/>
          </w:tcPr>
          <w:p>
            <w:pPr>
              <w:rPr>
                <w:color w:val="auto"/>
                <w:highlight w:val="none"/>
              </w:rPr>
            </w:pPr>
          </w:p>
        </w:tc>
        <w:tc>
          <w:tcPr>
            <w:tcW w:w="708" w:type="dxa"/>
            <w:vAlign w:val="center"/>
          </w:tcPr>
          <w:p>
            <w:pPr>
              <w:jc w:val="center"/>
              <w:rPr>
                <w:color w:val="auto"/>
                <w:highlight w:val="none"/>
              </w:rPr>
            </w:pPr>
            <w:r>
              <w:rPr>
                <w:rFonts w:hint="eastAsia"/>
                <w:color w:val="auto"/>
                <w:highlight w:val="none"/>
              </w:rPr>
              <w:t>D类</w:t>
            </w:r>
          </w:p>
        </w:tc>
        <w:tc>
          <w:tcPr>
            <w:tcW w:w="5679" w:type="dxa"/>
          </w:tcPr>
          <w:p>
            <w:pPr>
              <w:rPr>
                <w:rFonts w:ascii="宋体" w:hAnsi="宋体" w:cs="宋体"/>
                <w:color w:val="auto"/>
                <w:szCs w:val="21"/>
                <w:highlight w:val="none"/>
              </w:rPr>
            </w:pPr>
            <w:r>
              <w:rPr>
                <w:rFonts w:hint="eastAsia" w:ascii="宋体" w:hAnsi="宋体" w:cs="宋体"/>
                <w:color w:val="auto"/>
                <w:szCs w:val="21"/>
                <w:highlight w:val="none"/>
              </w:rPr>
              <w:t>被SCI、SCIE检索的会议论文；《上海海事大学学报》上发表的论文；《中国社会科学引文索引》（CSSCI）扩展版来源期刊、集刊；《中国科学引文数据库》（CSCD）的扩展库目录期刊</w:t>
            </w:r>
          </w:p>
          <w:p>
            <w:pPr>
              <w:rPr>
                <w:rFonts w:ascii="宋体" w:hAnsi="宋体" w:cs="宋体"/>
                <w:color w:val="auto"/>
                <w:szCs w:val="21"/>
                <w:highlight w:val="none"/>
              </w:rPr>
            </w:pPr>
            <w:r>
              <w:rPr>
                <w:rFonts w:hint="eastAsia" w:ascii="宋体" w:hAnsi="宋体" w:cs="宋体"/>
                <w:color w:val="auto"/>
                <w:szCs w:val="21"/>
                <w:highlight w:val="none"/>
              </w:rPr>
              <w:t>中国物流学术年会三等奖论文；中国航海学会学术年会优秀奖论文；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6" w:type="dxa"/>
          </w:tcPr>
          <w:p>
            <w:pPr>
              <w:jc w:val="center"/>
              <w:rPr>
                <w:rFonts w:ascii="宋体" w:hAnsi="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5" w:type="dxa"/>
            <w:vMerge w:val="continue"/>
          </w:tcPr>
          <w:p>
            <w:pPr>
              <w:rPr>
                <w:color w:val="auto"/>
                <w:highlight w:val="none"/>
              </w:rPr>
            </w:pPr>
          </w:p>
        </w:tc>
        <w:tc>
          <w:tcPr>
            <w:tcW w:w="426" w:type="dxa"/>
            <w:vMerge w:val="continue"/>
          </w:tcPr>
          <w:p>
            <w:pPr>
              <w:rPr>
                <w:color w:val="auto"/>
                <w:highlight w:val="none"/>
              </w:rPr>
            </w:pPr>
          </w:p>
        </w:tc>
        <w:tc>
          <w:tcPr>
            <w:tcW w:w="708" w:type="dxa"/>
            <w:vAlign w:val="center"/>
          </w:tcPr>
          <w:p>
            <w:pPr>
              <w:jc w:val="center"/>
              <w:rPr>
                <w:color w:val="auto"/>
                <w:highlight w:val="none"/>
              </w:rPr>
            </w:pPr>
            <w:r>
              <w:rPr>
                <w:rFonts w:hint="eastAsia"/>
                <w:color w:val="auto"/>
                <w:highlight w:val="none"/>
              </w:rPr>
              <w:t>E类</w:t>
            </w:r>
          </w:p>
        </w:tc>
        <w:tc>
          <w:tcPr>
            <w:tcW w:w="5679" w:type="dxa"/>
            <w:vAlign w:val="center"/>
          </w:tcPr>
          <w:p>
            <w:pPr>
              <w:rPr>
                <w:rFonts w:ascii="宋体" w:hAnsi="宋体" w:cs="宋体"/>
                <w:color w:val="auto"/>
                <w:szCs w:val="21"/>
                <w:highlight w:val="none"/>
              </w:rPr>
            </w:pPr>
            <w:r>
              <w:rPr>
                <w:rFonts w:hint="eastAsia" w:ascii="宋体" w:hAnsi="宋体" w:cs="宋体"/>
                <w:color w:val="auto"/>
                <w:szCs w:val="21"/>
                <w:highlight w:val="none"/>
              </w:rPr>
              <w:t>《中文核心期刊要目总览》期刊,</w:t>
            </w:r>
            <w:r>
              <w:rPr>
                <w:rFonts w:hint="eastAsia" w:ascii="宋体" w:hAnsi="宋体" w:cs="宋体"/>
                <w:color w:val="auto"/>
                <w:szCs w:val="21"/>
                <w:highlight w:val="none"/>
                <w:shd w:val="clear" w:color="auto" w:fill="FFFFFF"/>
              </w:rPr>
              <w:t>被EI、CPCI-S(原ISTP)、CPCI-SSH（原ISSHP）检索的会议论文</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6" w:type="dxa"/>
          </w:tcPr>
          <w:p>
            <w:pPr>
              <w:jc w:val="center"/>
              <w:rPr>
                <w:rFonts w:ascii="宋体" w:hAnsi="宋体" w:cs="宋体"/>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675" w:type="dxa"/>
            <w:vMerge w:val="continue"/>
          </w:tcPr>
          <w:p>
            <w:pPr>
              <w:rPr>
                <w:color w:val="auto"/>
                <w:highlight w:val="none"/>
              </w:rPr>
            </w:pPr>
          </w:p>
        </w:tc>
        <w:tc>
          <w:tcPr>
            <w:tcW w:w="426" w:type="dxa"/>
            <w:vMerge w:val="restart"/>
            <w:vAlign w:val="center"/>
          </w:tcPr>
          <w:p>
            <w:pPr>
              <w:spacing w:line="200" w:lineRule="exact"/>
              <w:jc w:val="center"/>
              <w:rPr>
                <w:color w:val="auto"/>
                <w:szCs w:val="21"/>
                <w:highlight w:val="none"/>
              </w:rPr>
            </w:pPr>
            <w:r>
              <w:rPr>
                <w:rFonts w:hint="eastAsia"/>
                <w:color w:val="auto"/>
                <w:szCs w:val="21"/>
                <w:highlight w:val="none"/>
              </w:rPr>
              <w:t>知识产权</w:t>
            </w:r>
          </w:p>
        </w:tc>
        <w:tc>
          <w:tcPr>
            <w:tcW w:w="6387" w:type="dxa"/>
            <w:gridSpan w:val="2"/>
            <w:vAlign w:val="center"/>
          </w:tcPr>
          <w:p>
            <w:pPr>
              <w:rPr>
                <w:rFonts w:ascii="宋体" w:hAnsi="宋体" w:cs="宋体"/>
                <w:color w:val="auto"/>
                <w:szCs w:val="21"/>
                <w:highlight w:val="none"/>
              </w:rPr>
            </w:pPr>
            <w:r>
              <w:rPr>
                <w:rFonts w:hint="eastAsia" w:ascii="仿宋" w:hAnsi="仿宋" w:eastAsia="仿宋"/>
                <w:color w:val="auto"/>
                <w:szCs w:val="21"/>
                <w:highlight w:val="none"/>
              </w:rPr>
              <w:t>国际</w:t>
            </w:r>
            <w:r>
              <w:rPr>
                <w:rFonts w:ascii="仿宋" w:hAnsi="仿宋" w:eastAsia="仿宋"/>
                <w:color w:val="auto"/>
                <w:szCs w:val="21"/>
                <w:highlight w:val="none"/>
              </w:rPr>
              <w:t>发明专利（授权）</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46" w:type="dxa"/>
            <w:vMerge w:val="restart"/>
          </w:tcPr>
          <w:p>
            <w:pPr>
              <w:jc w:val="center"/>
              <w:rPr>
                <w:color w:val="auto"/>
                <w:sz w:val="18"/>
                <w:szCs w:val="21"/>
                <w:highlight w:val="none"/>
              </w:rPr>
            </w:pPr>
            <w:r>
              <w:rPr>
                <w:rFonts w:hint="eastAsia"/>
                <w:color w:val="auto"/>
                <w:sz w:val="18"/>
                <w:szCs w:val="21"/>
                <w:highlight w:val="none"/>
              </w:rPr>
              <w:t>仅限符</w:t>
            </w:r>
          </w:p>
          <w:p>
            <w:pPr>
              <w:jc w:val="center"/>
              <w:rPr>
                <w:color w:val="auto"/>
                <w:highlight w:val="none"/>
              </w:rPr>
            </w:pPr>
            <w:r>
              <w:rPr>
                <w:rFonts w:hint="eastAsia"/>
                <w:color w:val="auto"/>
                <w:sz w:val="18"/>
                <w:szCs w:val="21"/>
                <w:highlight w:val="none"/>
              </w:rPr>
              <w:t>合学校专利申请程序的专利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675" w:type="dxa"/>
            <w:vMerge w:val="continue"/>
          </w:tcPr>
          <w:p>
            <w:pPr>
              <w:rPr>
                <w:color w:val="auto"/>
                <w:highlight w:val="none"/>
              </w:rPr>
            </w:pPr>
          </w:p>
        </w:tc>
        <w:tc>
          <w:tcPr>
            <w:tcW w:w="426" w:type="dxa"/>
            <w:vMerge w:val="continue"/>
            <w:vAlign w:val="center"/>
          </w:tcPr>
          <w:p>
            <w:pPr>
              <w:spacing w:line="200" w:lineRule="exact"/>
              <w:jc w:val="center"/>
              <w:rPr>
                <w:color w:val="auto"/>
                <w:szCs w:val="21"/>
                <w:highlight w:val="none"/>
              </w:rPr>
            </w:pPr>
          </w:p>
        </w:tc>
        <w:tc>
          <w:tcPr>
            <w:tcW w:w="6387" w:type="dxa"/>
            <w:gridSpan w:val="2"/>
            <w:vAlign w:val="center"/>
          </w:tcPr>
          <w:p>
            <w:pPr>
              <w:rPr>
                <w:rFonts w:ascii="宋体" w:hAnsi="宋体" w:cs="宋体"/>
                <w:color w:val="auto"/>
                <w:szCs w:val="21"/>
                <w:highlight w:val="none"/>
              </w:rPr>
            </w:pPr>
            <w:r>
              <w:rPr>
                <w:rFonts w:hint="eastAsia" w:ascii="仿宋" w:hAnsi="仿宋" w:eastAsia="仿宋"/>
                <w:color w:val="auto"/>
                <w:szCs w:val="21"/>
                <w:highlight w:val="none"/>
              </w:rPr>
              <w:t>国际</w:t>
            </w:r>
            <w:r>
              <w:rPr>
                <w:rFonts w:ascii="仿宋" w:hAnsi="仿宋" w:eastAsia="仿宋"/>
                <w:color w:val="auto"/>
                <w:szCs w:val="21"/>
                <w:highlight w:val="none"/>
              </w:rPr>
              <w:t>发明专利（</w:t>
            </w:r>
            <w:r>
              <w:rPr>
                <w:rFonts w:hint="eastAsia" w:ascii="仿宋" w:hAnsi="仿宋" w:eastAsia="仿宋"/>
                <w:color w:val="auto"/>
                <w:szCs w:val="21"/>
                <w:highlight w:val="none"/>
              </w:rPr>
              <w:t>申请</w:t>
            </w:r>
            <w:r>
              <w:rPr>
                <w:rFonts w:ascii="仿宋" w:hAnsi="仿宋" w:eastAsia="仿宋"/>
                <w:color w:val="auto"/>
                <w:szCs w:val="21"/>
                <w:highlight w:val="none"/>
              </w:rPr>
              <w:t>）</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46" w:type="dxa"/>
            <w:vMerge w:val="continue"/>
          </w:tcPr>
          <w:p>
            <w:pPr>
              <w:jc w:val="center"/>
              <w:rPr>
                <w:color w:val="auto"/>
                <w:sz w:val="18"/>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75" w:type="dxa"/>
            <w:vMerge w:val="continue"/>
          </w:tcPr>
          <w:p>
            <w:pPr>
              <w:rPr>
                <w:color w:val="auto"/>
                <w:highlight w:val="none"/>
              </w:rPr>
            </w:pPr>
          </w:p>
        </w:tc>
        <w:tc>
          <w:tcPr>
            <w:tcW w:w="426" w:type="dxa"/>
            <w:vMerge w:val="continue"/>
            <w:vAlign w:val="center"/>
          </w:tcPr>
          <w:p>
            <w:pPr>
              <w:spacing w:line="200" w:lineRule="exact"/>
              <w:jc w:val="center"/>
              <w:rPr>
                <w:color w:val="auto"/>
                <w:szCs w:val="21"/>
                <w:highlight w:val="none"/>
              </w:rPr>
            </w:pPr>
          </w:p>
        </w:tc>
        <w:tc>
          <w:tcPr>
            <w:tcW w:w="6387" w:type="dxa"/>
            <w:gridSpan w:val="2"/>
            <w:vAlign w:val="center"/>
          </w:tcPr>
          <w:p>
            <w:pPr>
              <w:rPr>
                <w:rFonts w:ascii="宋体" w:hAnsi="宋体" w:cs="宋体"/>
                <w:color w:val="auto"/>
                <w:szCs w:val="21"/>
                <w:highlight w:val="none"/>
              </w:rPr>
            </w:pPr>
            <w:r>
              <w:rPr>
                <w:rFonts w:hint="eastAsia" w:ascii="宋体" w:hAnsi="宋体" w:cs="宋体"/>
                <w:color w:val="auto"/>
                <w:szCs w:val="21"/>
                <w:highlight w:val="none"/>
              </w:rPr>
              <w:t>国内发明专利（授权）</w:t>
            </w:r>
          </w:p>
        </w:tc>
        <w:tc>
          <w:tcPr>
            <w:tcW w:w="19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6" w:type="dxa"/>
            <w:vMerge w:val="continue"/>
          </w:tcPr>
          <w:p>
            <w:pPr>
              <w:jc w:val="center"/>
              <w:rPr>
                <w:color w:val="auto"/>
                <w:sz w:val="18"/>
                <w:szCs w:val="21"/>
                <w:highlight w:val="none"/>
              </w:rPr>
            </w:pPr>
          </w:p>
        </w:tc>
      </w:tr>
    </w:tbl>
    <w:p>
      <w:pPr>
        <w:rPr>
          <w:color w:val="auto"/>
          <w:highlight w:val="none"/>
        </w:rPr>
      </w:pPr>
    </w:p>
    <w:tbl>
      <w:tblPr>
        <w:tblStyle w:val="9"/>
        <w:tblpPr w:leftFromText="180" w:rightFromText="180" w:vertAnchor="text" w:horzAnchor="page" w:tblpX="1148" w:tblpY="1"/>
        <w:tblOverlap w:val="neve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26"/>
        <w:gridCol w:w="2618"/>
        <w:gridCol w:w="2343"/>
        <w:gridCol w:w="1426"/>
        <w:gridCol w:w="672"/>
        <w:gridCol w:w="648"/>
        <w:gridCol w:w="660"/>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675" w:type="dxa"/>
            <w:vMerge w:val="restart"/>
          </w:tcPr>
          <w:p>
            <w:pPr>
              <w:jc w:val="center"/>
              <w:rPr>
                <w:rFonts w:ascii="inherit" w:hAnsi="inherit" w:cs="宋体"/>
                <w:color w:val="auto"/>
                <w:kern w:val="0"/>
                <w:sz w:val="24"/>
                <w:highlight w:val="none"/>
              </w:rPr>
            </w:pPr>
            <w:r>
              <w:rPr>
                <w:rFonts w:hint="eastAsia" w:ascii="inherit" w:hAnsi="inherit" w:cs="宋体"/>
                <w:color w:val="auto"/>
                <w:kern w:val="0"/>
                <w:sz w:val="24"/>
                <w:highlight w:val="none"/>
              </w:rPr>
              <w:t>科创实践综合分</w:t>
            </w:r>
          </w:p>
          <w:p>
            <w:pPr>
              <w:rPr>
                <w:color w:val="auto"/>
                <w:highlight w:val="none"/>
              </w:rPr>
            </w:pPr>
            <w:r>
              <w:rPr>
                <w:rFonts w:hint="eastAsia" w:ascii="inherit" w:hAnsi="inherit" w:cs="宋体"/>
                <w:color w:val="auto"/>
                <w:kern w:val="0"/>
                <w:sz w:val="20"/>
                <w:highlight w:val="none"/>
              </w:rPr>
              <w:t>（二、三年级）</w:t>
            </w:r>
          </w:p>
        </w:tc>
        <w:tc>
          <w:tcPr>
            <w:tcW w:w="426" w:type="dxa"/>
            <w:vMerge w:val="restart"/>
            <w:vAlign w:val="center"/>
          </w:tcPr>
          <w:p>
            <w:pPr>
              <w:rPr>
                <w:color w:val="auto"/>
                <w:szCs w:val="21"/>
                <w:highlight w:val="none"/>
              </w:rPr>
            </w:pPr>
            <w:r>
              <w:rPr>
                <w:rFonts w:hint="eastAsia"/>
                <w:color w:val="auto"/>
                <w:highlight w:val="none"/>
              </w:rPr>
              <w:t>竞赛奖项</w:t>
            </w:r>
          </w:p>
        </w:tc>
        <w:tc>
          <w:tcPr>
            <w:tcW w:w="2618"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教育部学位与研究生教育发展中心认定的竞赛、上海市认定的参与毕业生进沪就业打分的竞赛</w:t>
            </w:r>
          </w:p>
        </w:tc>
        <w:tc>
          <w:tcPr>
            <w:tcW w:w="3769" w:type="dxa"/>
            <w:gridSpan w:val="2"/>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成果等级</w:t>
            </w:r>
          </w:p>
        </w:tc>
        <w:tc>
          <w:tcPr>
            <w:tcW w:w="672"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排名1</w:t>
            </w:r>
          </w:p>
        </w:tc>
        <w:tc>
          <w:tcPr>
            <w:tcW w:w="648"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排名2</w:t>
            </w:r>
          </w:p>
        </w:tc>
        <w:tc>
          <w:tcPr>
            <w:tcW w:w="660" w:type="dxa"/>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排名3</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国家赛</w:t>
            </w: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一等奖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jc w:val="center"/>
              <w:rPr>
                <w:rFonts w:ascii="宋体" w:hAnsi="宋体" w:cs="宋体"/>
                <w:color w:val="auto"/>
                <w:szCs w:val="21"/>
                <w:highlight w:val="none"/>
              </w:rPr>
            </w:pP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二等奖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jc w:val="center"/>
              <w:rPr>
                <w:rFonts w:ascii="宋体" w:hAnsi="宋体" w:cs="宋体"/>
                <w:color w:val="auto"/>
                <w:szCs w:val="21"/>
                <w:highlight w:val="none"/>
              </w:rPr>
            </w:pP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三等奖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地区赛</w:t>
            </w:r>
          </w:p>
          <w:p>
            <w:pPr>
              <w:jc w:val="center"/>
              <w:rPr>
                <w:rFonts w:ascii="宋体" w:hAnsi="宋体" w:cs="宋体"/>
                <w:color w:val="auto"/>
                <w:szCs w:val="21"/>
                <w:highlight w:val="none"/>
              </w:rPr>
            </w:pPr>
            <w:r>
              <w:rPr>
                <w:rFonts w:hint="eastAsia" w:ascii="宋体" w:hAnsi="宋体" w:cs="宋体"/>
                <w:color w:val="auto"/>
                <w:szCs w:val="21"/>
                <w:highlight w:val="none"/>
              </w:rPr>
              <w:t>（最高限1项）</w:t>
            </w: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一等奖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jc w:val="center"/>
              <w:rPr>
                <w:rFonts w:ascii="宋体" w:hAnsi="宋体" w:cs="宋体"/>
                <w:color w:val="auto"/>
                <w:szCs w:val="21"/>
                <w:highlight w:val="none"/>
              </w:rPr>
            </w:pP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二等奖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jc w:val="center"/>
              <w:rPr>
                <w:rFonts w:ascii="宋体" w:hAnsi="宋体" w:cs="宋体"/>
                <w:color w:val="auto"/>
                <w:szCs w:val="21"/>
                <w:highlight w:val="none"/>
              </w:rPr>
            </w:pP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三等奖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0.7</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0.5</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rPr>
                <w:rFonts w:ascii="宋体" w:hAnsi="宋体" w:cs="宋体"/>
                <w:color w:val="auto"/>
                <w:szCs w:val="21"/>
                <w:highlight w:val="none"/>
              </w:rPr>
            </w:pPr>
          </w:p>
        </w:tc>
        <w:tc>
          <w:tcPr>
            <w:tcW w:w="23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校园赛（最高限1项）</w:t>
            </w:r>
          </w:p>
        </w:tc>
        <w:tc>
          <w:tcPr>
            <w:tcW w:w="1426" w:type="dxa"/>
            <w:vAlign w:val="center"/>
          </w:tcPr>
          <w:p>
            <w:pPr>
              <w:rPr>
                <w:rFonts w:ascii="宋体" w:hAnsi="宋体" w:cs="宋体"/>
                <w:color w:val="auto"/>
                <w:szCs w:val="21"/>
                <w:highlight w:val="none"/>
              </w:rPr>
            </w:pPr>
            <w:r>
              <w:rPr>
                <w:rFonts w:hint="eastAsia" w:ascii="宋体" w:hAnsi="宋体" w:cs="宋体"/>
                <w:color w:val="auto"/>
                <w:szCs w:val="21"/>
                <w:highlight w:val="none"/>
              </w:rPr>
              <w:t>一等奖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0.7</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0.5</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4961" w:type="dxa"/>
            <w:gridSpan w:val="2"/>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我校认定的其他全国性专业竞赛（如：全国高校物联网应用创新大赛）</w:t>
            </w:r>
          </w:p>
        </w:tc>
        <w:tc>
          <w:tcPr>
            <w:tcW w:w="1426" w:type="dxa"/>
            <w:tcBorders>
              <w:bottom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一等奖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4961" w:type="dxa"/>
            <w:gridSpan w:val="2"/>
            <w:vMerge w:val="continue"/>
            <w:vAlign w:val="center"/>
          </w:tcPr>
          <w:p>
            <w:pPr>
              <w:rPr>
                <w:rFonts w:ascii="宋体" w:hAnsi="宋体" w:cs="宋体"/>
                <w:color w:val="auto"/>
                <w:szCs w:val="21"/>
                <w:highlight w:val="none"/>
              </w:rPr>
            </w:pPr>
          </w:p>
        </w:tc>
        <w:tc>
          <w:tcPr>
            <w:tcW w:w="1426" w:type="dxa"/>
            <w:tcBorders>
              <w:bottom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二等奖</w:t>
            </w:r>
          </w:p>
        </w:tc>
        <w:tc>
          <w:tcPr>
            <w:tcW w:w="67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6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6" w:type="dxa"/>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4961" w:type="dxa"/>
            <w:gridSpan w:val="2"/>
            <w:vMerge w:val="continue"/>
            <w:tcBorders>
              <w:bottom w:val="single" w:color="auto" w:sz="4" w:space="0"/>
            </w:tcBorders>
            <w:vAlign w:val="center"/>
          </w:tcPr>
          <w:p>
            <w:pPr>
              <w:rPr>
                <w:rFonts w:ascii="宋体" w:hAnsi="宋体" w:cs="宋体"/>
                <w:color w:val="auto"/>
                <w:szCs w:val="21"/>
                <w:highlight w:val="none"/>
              </w:rPr>
            </w:pPr>
          </w:p>
        </w:tc>
        <w:tc>
          <w:tcPr>
            <w:tcW w:w="1426" w:type="dxa"/>
            <w:tcBorders>
              <w:bottom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三等奖</w:t>
            </w:r>
          </w:p>
        </w:tc>
        <w:tc>
          <w:tcPr>
            <w:tcW w:w="672"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648"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0.7</w:t>
            </w:r>
          </w:p>
        </w:tc>
        <w:tc>
          <w:tcPr>
            <w:tcW w:w="660"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0.5</w:t>
            </w:r>
          </w:p>
        </w:tc>
        <w:tc>
          <w:tcPr>
            <w:tcW w:w="846" w:type="dxa"/>
            <w:tcBorders>
              <w:bottom w:val="single" w:color="auto" w:sz="4" w:space="0"/>
            </w:tcBorders>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675" w:type="dxa"/>
            <w:vMerge w:val="continue"/>
          </w:tcPr>
          <w:p>
            <w:pPr>
              <w:rPr>
                <w:color w:val="auto"/>
                <w:highlight w:val="none"/>
              </w:rPr>
            </w:pPr>
          </w:p>
        </w:tc>
        <w:tc>
          <w:tcPr>
            <w:tcW w:w="426" w:type="dxa"/>
            <w:vMerge w:val="restart"/>
            <w:vAlign w:val="center"/>
          </w:tcPr>
          <w:p>
            <w:pPr>
              <w:rPr>
                <w:color w:val="auto"/>
                <w:szCs w:val="21"/>
                <w:highlight w:val="none"/>
              </w:rPr>
            </w:pPr>
            <w:r>
              <w:rPr>
                <w:rFonts w:hint="eastAsia"/>
                <w:color w:val="auto"/>
                <w:szCs w:val="21"/>
                <w:highlight w:val="none"/>
              </w:rPr>
              <w:t>其他</w:t>
            </w:r>
          </w:p>
        </w:tc>
        <w:tc>
          <w:tcPr>
            <w:tcW w:w="2618"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研究生学术论坛（</w:t>
            </w:r>
            <w:r>
              <w:rPr>
                <w:rFonts w:hint="eastAsia" w:ascii="宋体" w:hAnsi="宋体" w:cs="宋体"/>
                <w:color w:val="auto"/>
                <w:highlight w:val="none"/>
              </w:rPr>
              <w:t>对照文件，往年没有列在表格中，对照学术成果要求文件，新增</w:t>
            </w:r>
            <w:r>
              <w:rPr>
                <w:rFonts w:hint="eastAsia" w:ascii="宋体" w:hAnsi="宋体" w:cs="宋体"/>
                <w:color w:val="auto"/>
                <w:szCs w:val="21"/>
                <w:highlight w:val="none"/>
              </w:rPr>
              <w:t>）</w:t>
            </w:r>
          </w:p>
        </w:tc>
        <w:tc>
          <w:tcPr>
            <w:tcW w:w="2343" w:type="dxa"/>
            <w:vMerge w:val="restart"/>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上海市级研究生学术论坛</w:t>
            </w:r>
          </w:p>
        </w:tc>
        <w:tc>
          <w:tcPr>
            <w:tcW w:w="1426" w:type="dxa"/>
            <w:vAlign w:val="center"/>
          </w:tcPr>
          <w:p>
            <w:pPr>
              <w:rPr>
                <w:rFonts w:ascii="宋体" w:hAnsi="宋体" w:cs="宋体"/>
                <w:color w:val="auto"/>
                <w:szCs w:val="21"/>
                <w:highlight w:val="none"/>
              </w:rPr>
            </w:pPr>
            <w:r>
              <w:rPr>
                <w:rFonts w:hint="eastAsia" w:ascii="宋体" w:hAnsi="宋体" w:cs="宋体"/>
                <w:color w:val="auto"/>
                <w:sz w:val="20"/>
                <w:szCs w:val="20"/>
                <w:highlight w:val="none"/>
              </w:rPr>
              <w:t>二等奖及以上</w:t>
            </w:r>
          </w:p>
        </w:tc>
        <w:tc>
          <w:tcPr>
            <w:tcW w:w="1980" w:type="dxa"/>
            <w:gridSpan w:val="3"/>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846" w:type="dxa"/>
            <w:vAlign w:val="center"/>
          </w:tcPr>
          <w:p>
            <w:pPr>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highlight w:val="none"/>
              </w:rPr>
            </w:pPr>
          </w:p>
        </w:tc>
        <w:tc>
          <w:tcPr>
            <w:tcW w:w="2343" w:type="dxa"/>
            <w:vMerge w:val="continue"/>
            <w:tcBorders>
              <w:bottom w:val="single" w:color="auto" w:sz="4" w:space="0"/>
            </w:tcBorders>
            <w:vAlign w:val="center"/>
          </w:tcPr>
          <w:p>
            <w:pPr>
              <w:rPr>
                <w:rFonts w:ascii="宋体" w:hAnsi="宋体" w:cs="宋体"/>
                <w:color w:val="auto"/>
                <w:sz w:val="20"/>
                <w:szCs w:val="22"/>
                <w:highlight w:val="none"/>
              </w:rPr>
            </w:pPr>
          </w:p>
        </w:tc>
        <w:tc>
          <w:tcPr>
            <w:tcW w:w="1426" w:type="dxa"/>
            <w:vAlign w:val="center"/>
          </w:tcPr>
          <w:p>
            <w:pPr>
              <w:rPr>
                <w:rFonts w:ascii="宋体" w:hAnsi="宋体" w:cs="宋体"/>
                <w:color w:val="auto"/>
                <w:highlight w:val="none"/>
              </w:rPr>
            </w:pPr>
            <w:r>
              <w:rPr>
                <w:rFonts w:hint="eastAsia" w:ascii="宋体" w:hAnsi="宋体" w:cs="宋体"/>
                <w:color w:val="auto"/>
                <w:sz w:val="20"/>
                <w:szCs w:val="20"/>
                <w:highlight w:val="none"/>
              </w:rPr>
              <w:t>三等奖</w:t>
            </w:r>
          </w:p>
        </w:tc>
        <w:tc>
          <w:tcPr>
            <w:tcW w:w="1980" w:type="dxa"/>
            <w:gridSpan w:val="3"/>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846" w:type="dxa"/>
            <w:vAlign w:val="center"/>
          </w:tcPr>
          <w:p>
            <w:pP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highlight w:val="none"/>
              </w:rPr>
            </w:pPr>
          </w:p>
        </w:tc>
        <w:tc>
          <w:tcPr>
            <w:tcW w:w="2343" w:type="dxa"/>
            <w:vMerge w:val="restart"/>
            <w:vAlign w:val="center"/>
          </w:tcPr>
          <w:p>
            <w:pPr>
              <w:rPr>
                <w:rFonts w:ascii="宋体" w:hAnsi="宋体" w:cs="宋体"/>
                <w:color w:val="auto"/>
                <w:sz w:val="20"/>
                <w:szCs w:val="22"/>
                <w:highlight w:val="none"/>
              </w:rPr>
            </w:pPr>
            <w:r>
              <w:rPr>
                <w:rFonts w:hint="eastAsia" w:ascii="宋体" w:hAnsi="宋体" w:cs="宋体"/>
                <w:color w:val="auto"/>
                <w:sz w:val="20"/>
                <w:szCs w:val="20"/>
                <w:highlight w:val="none"/>
              </w:rPr>
              <w:t>本校举办的研究生创新学术论坛</w:t>
            </w:r>
          </w:p>
        </w:tc>
        <w:tc>
          <w:tcPr>
            <w:tcW w:w="1426" w:type="dxa"/>
            <w:tcBorders>
              <w:bottom w:val="single" w:color="auto" w:sz="4" w:space="0"/>
            </w:tcBorders>
            <w:vAlign w:val="center"/>
          </w:tcPr>
          <w:p>
            <w:pPr>
              <w:rPr>
                <w:rFonts w:ascii="宋体" w:hAnsi="宋体" w:cs="宋体"/>
                <w:color w:val="auto"/>
                <w:highlight w:val="none"/>
              </w:rPr>
            </w:pPr>
            <w:r>
              <w:rPr>
                <w:rFonts w:hint="eastAsia" w:ascii="宋体" w:hAnsi="宋体" w:cs="宋体"/>
                <w:color w:val="auto"/>
                <w:sz w:val="20"/>
                <w:szCs w:val="20"/>
                <w:highlight w:val="none"/>
              </w:rPr>
              <w:t>一等奖及以上</w:t>
            </w:r>
          </w:p>
        </w:tc>
        <w:tc>
          <w:tcPr>
            <w:tcW w:w="1980" w:type="dxa"/>
            <w:gridSpan w:val="3"/>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846" w:type="dxa"/>
            <w:vAlign w:val="center"/>
          </w:tcPr>
          <w:p>
            <w:pP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tcBorders>
              <w:bottom w:val="single" w:color="auto" w:sz="4" w:space="0"/>
            </w:tcBorders>
            <w:vAlign w:val="center"/>
          </w:tcPr>
          <w:p>
            <w:pPr>
              <w:rPr>
                <w:rFonts w:ascii="宋体" w:hAnsi="宋体" w:cs="宋体"/>
                <w:color w:val="auto"/>
                <w:szCs w:val="21"/>
                <w:highlight w:val="none"/>
              </w:rPr>
            </w:pPr>
          </w:p>
        </w:tc>
        <w:tc>
          <w:tcPr>
            <w:tcW w:w="2343" w:type="dxa"/>
            <w:vMerge w:val="continue"/>
            <w:tcBorders>
              <w:bottom w:val="single" w:color="auto" w:sz="4" w:space="0"/>
            </w:tcBorders>
            <w:vAlign w:val="center"/>
          </w:tcPr>
          <w:p>
            <w:pPr>
              <w:rPr>
                <w:rFonts w:ascii="宋体" w:hAnsi="宋体" w:cs="宋体"/>
                <w:color w:val="auto"/>
                <w:sz w:val="20"/>
                <w:szCs w:val="20"/>
                <w:highlight w:val="none"/>
              </w:rPr>
            </w:pPr>
          </w:p>
        </w:tc>
        <w:tc>
          <w:tcPr>
            <w:tcW w:w="1426" w:type="dxa"/>
            <w:tcBorders>
              <w:bottom w:val="single" w:color="auto" w:sz="4" w:space="0"/>
            </w:tcBorders>
            <w:vAlign w:val="center"/>
          </w:tcPr>
          <w:p>
            <w:pPr>
              <w:rPr>
                <w:rFonts w:ascii="宋体" w:hAnsi="宋体" w:cs="宋体"/>
                <w:color w:val="auto"/>
                <w:szCs w:val="21"/>
                <w:highlight w:val="none"/>
              </w:rPr>
            </w:pPr>
            <w:r>
              <w:rPr>
                <w:rFonts w:hint="eastAsia" w:ascii="宋体" w:hAnsi="宋体" w:cs="宋体"/>
                <w:color w:val="auto"/>
                <w:sz w:val="20"/>
                <w:szCs w:val="20"/>
                <w:highlight w:val="none"/>
              </w:rPr>
              <w:t>二等奖</w:t>
            </w:r>
          </w:p>
        </w:tc>
        <w:tc>
          <w:tcPr>
            <w:tcW w:w="1980" w:type="dxa"/>
            <w:gridSpan w:val="3"/>
            <w:tcBorders>
              <w:bottom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0.5</w:t>
            </w:r>
          </w:p>
        </w:tc>
        <w:tc>
          <w:tcPr>
            <w:tcW w:w="846" w:type="dxa"/>
            <w:tcBorders>
              <w:bottom w:val="single" w:color="auto" w:sz="4" w:space="0"/>
            </w:tcBorders>
            <w:vAlign w:val="center"/>
          </w:tcPr>
          <w:p>
            <w:pPr>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学术会议报告</w:t>
            </w:r>
          </w:p>
        </w:tc>
        <w:tc>
          <w:tcPr>
            <w:tcW w:w="234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shd w:val="clear" w:color="auto" w:fill="FFFFFF"/>
              </w:rPr>
              <w:t>国内外顶级学术会议</w:t>
            </w: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大会报告</w:t>
            </w:r>
          </w:p>
        </w:tc>
        <w:tc>
          <w:tcPr>
            <w:tcW w:w="1980" w:type="dxa"/>
            <w:gridSpan w:val="3"/>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46" w:type="dxa"/>
            <w:vAlign w:val="center"/>
          </w:tcPr>
          <w:p>
            <w:pPr>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rPr>
                <w:rFonts w:ascii="宋体" w:hAnsi="宋体" w:cs="宋体"/>
                <w:color w:val="auto"/>
                <w:szCs w:val="21"/>
                <w:highlight w:val="none"/>
              </w:rPr>
            </w:pP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分会场报告</w:t>
            </w:r>
          </w:p>
        </w:tc>
        <w:tc>
          <w:tcPr>
            <w:tcW w:w="1980" w:type="dxa"/>
            <w:gridSpan w:val="3"/>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46" w:type="dxa"/>
            <w:vAlign w:val="center"/>
          </w:tcPr>
          <w:p>
            <w:pPr>
              <w:rPr>
                <w:rFonts w:ascii="宋体" w:hAnsi="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675" w:type="dxa"/>
            <w:vMerge w:val="continue"/>
          </w:tcPr>
          <w:p>
            <w:pPr>
              <w:rPr>
                <w:rFonts w:ascii="宋体" w:hAnsi="宋体" w:cs="宋体"/>
                <w:color w:val="auto"/>
                <w:sz w:val="20"/>
                <w:szCs w:val="20"/>
                <w:highlight w:val="none"/>
              </w:rPr>
            </w:pPr>
          </w:p>
        </w:tc>
        <w:tc>
          <w:tcPr>
            <w:tcW w:w="426" w:type="dxa"/>
            <w:vMerge w:val="continue"/>
            <w:vAlign w:val="center"/>
          </w:tcPr>
          <w:p>
            <w:pPr>
              <w:rPr>
                <w:rFonts w:ascii="宋体" w:hAnsi="宋体" w:cs="宋体"/>
                <w:color w:val="auto"/>
                <w:sz w:val="20"/>
                <w:szCs w:val="20"/>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tcBorders>
              <w:bottom w:val="single" w:color="auto" w:sz="4" w:space="0"/>
            </w:tcBorders>
            <w:vAlign w:val="center"/>
          </w:tcPr>
          <w:p>
            <w:pPr>
              <w:rPr>
                <w:rFonts w:ascii="宋体" w:hAnsi="宋体" w:cs="宋体"/>
                <w:color w:val="auto"/>
                <w:szCs w:val="21"/>
                <w:highlight w:val="none"/>
              </w:rPr>
            </w:pP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论文交流</w:t>
            </w:r>
          </w:p>
        </w:tc>
        <w:tc>
          <w:tcPr>
            <w:tcW w:w="1980" w:type="dxa"/>
            <w:gridSpan w:val="3"/>
            <w:tcBorders>
              <w:bottom w:val="single" w:color="auto" w:sz="4" w:space="0"/>
            </w:tcBorders>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6" w:type="dxa"/>
            <w:tcBorders>
              <w:bottom w:val="single" w:color="auto" w:sz="4" w:space="0"/>
            </w:tcBorders>
            <w:vAlign w:val="center"/>
          </w:tcPr>
          <w:p>
            <w:pPr>
              <w:rPr>
                <w:rFonts w:ascii="宋体" w:hAnsi="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675" w:type="dxa"/>
            <w:vMerge w:val="continue"/>
          </w:tcPr>
          <w:p>
            <w:pPr>
              <w:rPr>
                <w:color w:val="auto"/>
                <w:highlight w:val="none"/>
              </w:rPr>
            </w:pPr>
          </w:p>
        </w:tc>
        <w:tc>
          <w:tcPr>
            <w:tcW w:w="426" w:type="dxa"/>
            <w:vMerge w:val="continue"/>
            <w:vAlign w:val="center"/>
          </w:tcPr>
          <w:p>
            <w:pPr>
              <w:rPr>
                <w:color w:val="auto"/>
                <w:szCs w:val="21"/>
                <w:highlight w:val="none"/>
              </w:rPr>
            </w:pPr>
          </w:p>
        </w:tc>
        <w:tc>
          <w:tcPr>
            <w:tcW w:w="2618" w:type="dxa"/>
            <w:vMerge w:val="continue"/>
            <w:vAlign w:val="center"/>
          </w:tcPr>
          <w:p>
            <w:pPr>
              <w:jc w:val="center"/>
              <w:rPr>
                <w:rFonts w:ascii="宋体" w:hAnsi="宋体" w:cs="宋体"/>
                <w:color w:val="auto"/>
                <w:szCs w:val="21"/>
                <w:highlight w:val="none"/>
              </w:rPr>
            </w:pPr>
          </w:p>
        </w:tc>
        <w:tc>
          <w:tcPr>
            <w:tcW w:w="234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shd w:val="clear" w:color="auto" w:fill="FFFFFF"/>
              </w:rPr>
              <w:t>其它国际性、全国性学术会议</w:t>
            </w: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大会报告</w:t>
            </w:r>
          </w:p>
        </w:tc>
        <w:tc>
          <w:tcPr>
            <w:tcW w:w="1980" w:type="dxa"/>
            <w:gridSpan w:val="3"/>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46" w:type="dxa"/>
            <w:vAlign w:val="center"/>
          </w:tcPr>
          <w:p>
            <w:pPr>
              <w:jc w:val="center"/>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675" w:type="dxa"/>
            <w:vMerge w:val="continue"/>
          </w:tcPr>
          <w:p>
            <w:pPr>
              <w:rPr>
                <w:color w:val="auto"/>
                <w:highlight w:val="none"/>
              </w:rPr>
            </w:pPr>
          </w:p>
        </w:tc>
        <w:tc>
          <w:tcPr>
            <w:tcW w:w="426" w:type="dxa"/>
            <w:vMerge w:val="continue"/>
            <w:vAlign w:val="center"/>
          </w:tcPr>
          <w:p>
            <w:pPr>
              <w:rPr>
                <w:color w:val="auto"/>
                <w:highlight w:val="none"/>
              </w:rPr>
            </w:pPr>
          </w:p>
        </w:tc>
        <w:tc>
          <w:tcPr>
            <w:tcW w:w="2618" w:type="dxa"/>
            <w:vMerge w:val="continue"/>
            <w:vAlign w:val="center"/>
          </w:tcPr>
          <w:p>
            <w:pPr>
              <w:rPr>
                <w:rFonts w:ascii="宋体" w:hAnsi="宋体" w:cs="宋体"/>
                <w:color w:val="auto"/>
                <w:szCs w:val="21"/>
                <w:highlight w:val="none"/>
              </w:rPr>
            </w:pPr>
          </w:p>
        </w:tc>
        <w:tc>
          <w:tcPr>
            <w:tcW w:w="2343" w:type="dxa"/>
            <w:vMerge w:val="continue"/>
            <w:vAlign w:val="center"/>
          </w:tcPr>
          <w:p>
            <w:pPr>
              <w:rPr>
                <w:rFonts w:ascii="宋体" w:hAnsi="宋体" w:cs="宋体"/>
                <w:color w:val="auto"/>
                <w:szCs w:val="21"/>
                <w:highlight w:val="none"/>
              </w:rPr>
            </w:pP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分会场报告</w:t>
            </w:r>
          </w:p>
        </w:tc>
        <w:tc>
          <w:tcPr>
            <w:tcW w:w="1980" w:type="dxa"/>
            <w:gridSpan w:val="3"/>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46" w:type="dxa"/>
            <w:vAlign w:val="center"/>
          </w:tcPr>
          <w:p>
            <w:pPr>
              <w:rPr>
                <w:rFonts w:ascii="宋体" w:hAnsi="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675" w:type="dxa"/>
            <w:vMerge w:val="continue"/>
          </w:tcPr>
          <w:p>
            <w:pPr>
              <w:rPr>
                <w:rFonts w:ascii="宋体" w:hAnsi="宋体" w:cs="宋体"/>
                <w:color w:val="auto"/>
                <w:sz w:val="20"/>
                <w:szCs w:val="20"/>
                <w:highlight w:val="none"/>
              </w:rPr>
            </w:pPr>
          </w:p>
        </w:tc>
        <w:tc>
          <w:tcPr>
            <w:tcW w:w="426" w:type="dxa"/>
            <w:vMerge w:val="continue"/>
            <w:vAlign w:val="center"/>
          </w:tcPr>
          <w:p>
            <w:pPr>
              <w:rPr>
                <w:rFonts w:ascii="宋体" w:hAnsi="宋体" w:cs="宋体"/>
                <w:color w:val="auto"/>
                <w:sz w:val="20"/>
                <w:szCs w:val="20"/>
                <w:highlight w:val="none"/>
              </w:rPr>
            </w:pPr>
          </w:p>
        </w:tc>
        <w:tc>
          <w:tcPr>
            <w:tcW w:w="2618" w:type="dxa"/>
            <w:vMerge w:val="continue"/>
            <w:tcBorders>
              <w:bottom w:val="single" w:color="auto" w:sz="4" w:space="0"/>
            </w:tcBorders>
            <w:vAlign w:val="center"/>
          </w:tcPr>
          <w:p>
            <w:pPr>
              <w:rPr>
                <w:rFonts w:ascii="宋体" w:hAnsi="宋体" w:cs="宋体"/>
                <w:color w:val="auto"/>
                <w:szCs w:val="21"/>
                <w:highlight w:val="none"/>
              </w:rPr>
            </w:pPr>
          </w:p>
        </w:tc>
        <w:tc>
          <w:tcPr>
            <w:tcW w:w="2343" w:type="dxa"/>
            <w:vMerge w:val="continue"/>
            <w:tcBorders>
              <w:bottom w:val="single" w:color="auto" w:sz="4" w:space="0"/>
            </w:tcBorders>
            <w:vAlign w:val="center"/>
          </w:tcPr>
          <w:p>
            <w:pPr>
              <w:rPr>
                <w:rFonts w:ascii="宋体" w:hAnsi="宋体" w:cs="宋体"/>
                <w:color w:val="auto"/>
                <w:szCs w:val="21"/>
                <w:highlight w:val="none"/>
              </w:rPr>
            </w:pPr>
          </w:p>
        </w:tc>
        <w:tc>
          <w:tcPr>
            <w:tcW w:w="1426" w:type="dxa"/>
            <w:tcBorders>
              <w:bottom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论文交流</w:t>
            </w:r>
          </w:p>
        </w:tc>
        <w:tc>
          <w:tcPr>
            <w:tcW w:w="1980" w:type="dxa"/>
            <w:gridSpan w:val="3"/>
            <w:tcBorders>
              <w:bottom w:val="single" w:color="auto" w:sz="4" w:space="0"/>
            </w:tcBorders>
          </w:tcPr>
          <w:p>
            <w:pPr>
              <w:jc w:val="center"/>
              <w:rPr>
                <w:rFonts w:ascii="宋体" w:hAnsi="宋体" w:cs="宋体"/>
                <w:color w:val="auto"/>
                <w:szCs w:val="21"/>
                <w:highlight w:val="none"/>
              </w:rPr>
            </w:pPr>
            <w:r>
              <w:rPr>
                <w:rFonts w:hint="eastAsia" w:ascii="宋体" w:hAnsi="宋体" w:cs="宋体"/>
                <w:color w:val="auto"/>
                <w:szCs w:val="21"/>
                <w:highlight w:val="none"/>
              </w:rPr>
              <w:t>0.5</w:t>
            </w:r>
          </w:p>
        </w:tc>
        <w:tc>
          <w:tcPr>
            <w:tcW w:w="846" w:type="dxa"/>
            <w:tcBorders>
              <w:bottom w:val="single" w:color="auto" w:sz="4" w:space="0"/>
            </w:tcBorders>
            <w:vAlign w:val="center"/>
          </w:tcPr>
          <w:p>
            <w:pPr>
              <w:rPr>
                <w:rFonts w:ascii="宋体" w:hAnsi="宋体" w:cs="宋体"/>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9468" w:type="dxa"/>
            <w:gridSpan w:val="8"/>
            <w:tcBorders>
              <w:top w:val="single" w:color="auto" w:sz="4" w:space="0"/>
              <w:left w:val="single" w:color="auto" w:sz="4" w:space="0"/>
              <w:bottom w:val="single" w:color="auto" w:sz="4" w:space="0"/>
              <w:right w:val="single" w:color="auto" w:sz="4" w:space="0"/>
            </w:tcBorders>
          </w:tcPr>
          <w:p>
            <w:pPr>
              <w:spacing w:line="360" w:lineRule="auto"/>
              <w:jc w:val="center"/>
              <w:rPr>
                <w:color w:val="auto"/>
                <w:highlight w:val="none"/>
              </w:rPr>
            </w:pPr>
            <w:r>
              <w:rPr>
                <w:rFonts w:hint="eastAsia"/>
                <w:color w:val="auto"/>
                <w:highlight w:val="none"/>
              </w:rPr>
              <w:t>总分合计</w:t>
            </w:r>
          </w:p>
        </w:tc>
        <w:tc>
          <w:tcPr>
            <w:tcW w:w="846"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r>
    </w:tbl>
    <w:p>
      <w:pPr>
        <w:spacing w:line="360" w:lineRule="exact"/>
        <w:rPr>
          <w:rFonts w:ascii="宋体" w:hAnsi="宋体" w:cs="宋体"/>
          <w:color w:val="auto"/>
          <w:sz w:val="20"/>
          <w:szCs w:val="20"/>
          <w:highlight w:val="none"/>
        </w:rPr>
      </w:pPr>
      <w:r>
        <w:rPr>
          <w:rFonts w:hint="eastAsia" w:ascii="宋体" w:hAnsi="宋体"/>
          <w:color w:val="auto"/>
          <w:szCs w:val="21"/>
          <w:highlight w:val="none"/>
        </w:rPr>
        <w:t>备注：</w:t>
      </w:r>
      <w:r>
        <w:rPr>
          <w:rFonts w:ascii="宋体" w:hAnsi="宋体" w:cs="宋体"/>
          <w:color w:val="auto"/>
          <w:sz w:val="20"/>
          <w:szCs w:val="20"/>
          <w:highlight w:val="none"/>
        </w:rPr>
        <w:t>1、上表中列出的科创实践综合分中论文、专利、竞赛、研究生学术论坛等成果计分办法参考入学当年的《上海海事大学研究生授予学位成果要求》，以团队形式参加的，证书上有排名先后， 队员得分按照表格相应排名计分；无排名先后的，所有人员得分按照排名 1-3 的计分之和按团队人数平均计分（团队最多取前 3 位）；</w:t>
      </w:r>
    </w:p>
    <w:p>
      <w:pPr>
        <w:numPr>
          <w:ilvl w:val="0"/>
          <w:numId w:val="2"/>
        </w:numPr>
        <w:spacing w:line="360" w:lineRule="exact"/>
        <w:rPr>
          <w:rFonts w:ascii="宋体" w:hAnsi="宋体" w:cs="宋体"/>
          <w:color w:val="auto"/>
          <w:sz w:val="20"/>
          <w:szCs w:val="20"/>
          <w:highlight w:val="none"/>
        </w:rPr>
      </w:pPr>
      <w:r>
        <w:rPr>
          <w:rFonts w:ascii="宋体" w:hAnsi="宋体" w:cs="宋体"/>
          <w:color w:val="auto"/>
          <w:sz w:val="20"/>
          <w:szCs w:val="20"/>
          <w:highlight w:val="none"/>
        </w:rPr>
        <w:t>SCI/EI 等论文需出具相关检索证明，有检索证明按 100%权重计算分值；学术论文被 SCI、EI 刊源 中非 Open Access 期刊录用或 online 出版，视为 SCI、EI 检索，按 100%权重计算分值；学术论文被 SCI、EI 刊源中的 Open Access 期刊录用或者出版，无检索证明，分值按照 80%权重计算。中文期刊附录用通知和缴费证明材料，视为出版。</w:t>
      </w:r>
    </w:p>
    <w:p>
      <w:pPr>
        <w:numPr>
          <w:ilvl w:val="0"/>
          <w:numId w:val="2"/>
        </w:numPr>
        <w:spacing w:line="360" w:lineRule="exact"/>
        <w:rPr>
          <w:rFonts w:hint="eastAsia" w:ascii="宋体" w:hAnsi="宋体"/>
          <w:color w:val="auto"/>
          <w:szCs w:val="21"/>
          <w:highlight w:val="none"/>
        </w:rPr>
      </w:pPr>
      <w:r>
        <w:rPr>
          <w:rFonts w:ascii="宋体" w:hAnsi="宋体" w:cs="宋体"/>
          <w:color w:val="auto"/>
          <w:sz w:val="20"/>
          <w:szCs w:val="20"/>
          <w:highlight w:val="none"/>
        </w:rPr>
        <w:t xml:space="preserve">发表在历年《国际期刊预警名单》中的期刊上发表的论文，均不计分（论文正式录用时间在中科院文献情况中心或者科技处公布《国际期刊预警名单》之前，可正常计分）。 </w:t>
      </w:r>
    </w:p>
    <w:p>
      <w:pPr>
        <w:numPr>
          <w:ilvl w:val="0"/>
          <w:numId w:val="2"/>
        </w:numPr>
        <w:spacing w:line="360" w:lineRule="exact"/>
        <w:rPr>
          <w:rFonts w:ascii="宋体" w:hAnsi="宋体"/>
          <w:color w:val="auto"/>
          <w:szCs w:val="21"/>
          <w:highlight w:val="none"/>
        </w:rPr>
      </w:pPr>
      <w:r>
        <w:rPr>
          <w:rFonts w:hint="eastAsia" w:ascii="宋体" w:hAnsi="宋体" w:cs="宋体"/>
          <w:color w:val="auto"/>
          <w:sz w:val="20"/>
          <w:szCs w:val="20"/>
          <w:highlight w:val="none"/>
        </w:rPr>
        <w:t>EI会议</w:t>
      </w:r>
      <w:r>
        <w:rPr>
          <w:rFonts w:hint="eastAsia" w:ascii="宋体" w:hAnsi="宋体" w:cs="宋体"/>
          <w:color w:val="auto"/>
          <w:sz w:val="20"/>
          <w:szCs w:val="20"/>
          <w:highlight w:val="none"/>
          <w:lang w:eastAsia="zh-CN"/>
        </w:rPr>
        <w:t>论文</w:t>
      </w:r>
      <w:r>
        <w:rPr>
          <w:rFonts w:hint="eastAsia" w:ascii="宋体" w:hAnsi="宋体" w:cs="宋体"/>
          <w:color w:val="auto"/>
          <w:sz w:val="20"/>
          <w:szCs w:val="20"/>
          <w:highlight w:val="none"/>
        </w:rPr>
        <w:t>录用</w:t>
      </w:r>
      <w:r>
        <w:rPr>
          <w:rFonts w:hint="eastAsia" w:ascii="宋体" w:hAnsi="宋体" w:cs="宋体"/>
          <w:color w:val="auto"/>
          <w:sz w:val="20"/>
          <w:szCs w:val="20"/>
          <w:highlight w:val="none"/>
          <w:lang w:eastAsia="zh-CN"/>
        </w:rPr>
        <w:t>或见刊</w:t>
      </w:r>
      <w:r>
        <w:rPr>
          <w:rFonts w:hint="eastAsia" w:ascii="宋体" w:hAnsi="宋体" w:cs="宋体"/>
          <w:color w:val="auto"/>
          <w:sz w:val="20"/>
          <w:szCs w:val="20"/>
          <w:highlight w:val="none"/>
        </w:rPr>
        <w:t>，没检索，不计分。</w:t>
      </w:r>
    </w:p>
    <w:p>
      <w:pPr>
        <w:numPr>
          <w:ilvl w:val="0"/>
          <w:numId w:val="2"/>
        </w:numPr>
        <w:spacing w:line="360" w:lineRule="exact"/>
        <w:rPr>
          <w:color w:val="auto"/>
          <w:szCs w:val="21"/>
          <w:highlight w:val="none"/>
        </w:rPr>
      </w:pPr>
      <w:r>
        <w:rPr>
          <w:rFonts w:ascii="宋体" w:hAnsi="宋体" w:cs="宋体"/>
          <w:color w:val="auto"/>
          <w:sz w:val="20"/>
          <w:szCs w:val="20"/>
          <w:highlight w:val="none"/>
        </w:rPr>
        <w:t>学生所提交材料均需真实有效，一旦发现弄虚作假，将严肃处理。</w:t>
      </w:r>
    </w:p>
    <w:p>
      <w:pPr>
        <w:numPr>
          <w:ilvl w:val="0"/>
          <w:numId w:val="2"/>
        </w:numPr>
        <w:spacing w:line="360" w:lineRule="exact"/>
        <w:rPr>
          <w:color w:val="auto"/>
          <w:szCs w:val="21"/>
          <w:highlight w:val="none"/>
        </w:rPr>
      </w:pPr>
      <w:r>
        <w:rPr>
          <w:color w:val="auto"/>
          <w:szCs w:val="21"/>
          <w:highlight w:val="none"/>
        </w:rPr>
        <w:t>其他未尽事宜，由</w:t>
      </w:r>
      <w:r>
        <w:rPr>
          <w:rFonts w:hint="eastAsia"/>
          <w:color w:val="auto"/>
          <w:szCs w:val="21"/>
          <w:highlight w:val="none"/>
        </w:rPr>
        <w:t>物流科学与工程研究院</w:t>
      </w:r>
      <w:r>
        <w:rPr>
          <w:color w:val="auto"/>
          <w:szCs w:val="21"/>
          <w:highlight w:val="none"/>
        </w:rPr>
        <w:t>研究生</w:t>
      </w:r>
      <w:r>
        <w:rPr>
          <w:rFonts w:hint="eastAsia"/>
          <w:color w:val="auto"/>
          <w:szCs w:val="21"/>
          <w:highlight w:val="none"/>
        </w:rPr>
        <w:t>学业</w:t>
      </w:r>
      <w:r>
        <w:rPr>
          <w:color w:val="auto"/>
          <w:szCs w:val="21"/>
          <w:highlight w:val="none"/>
        </w:rPr>
        <w:t>奖学金评审小组酌情决定</w:t>
      </w:r>
      <w:r>
        <w:rPr>
          <w:rFonts w:hint="eastAsia"/>
          <w:color w:val="auto"/>
          <w:szCs w:val="21"/>
          <w:highlight w:val="none"/>
        </w:rPr>
        <w:t>。</w:t>
      </w:r>
    </w:p>
    <w:p>
      <w:pPr>
        <w:spacing w:line="360" w:lineRule="exact"/>
        <w:rPr>
          <w:color w:val="auto"/>
          <w:sz w:val="18"/>
          <w:szCs w:val="21"/>
          <w:highlight w:val="none"/>
        </w:rPr>
      </w:pPr>
    </w:p>
    <w:sectPr>
      <w:pgSz w:w="11906" w:h="16838"/>
      <w:pgMar w:top="567" w:right="991" w:bottom="28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方正魏碑_GBK">
    <w:altName w:val="黑体"/>
    <w:panose1 w:val="00000000000000000000"/>
    <w:charset w:val="86"/>
    <w:family w:val="script"/>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D76B7"/>
    <w:multiLevelType w:val="multilevel"/>
    <w:tmpl w:val="273D76B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FEC725F"/>
    <w:multiLevelType w:val="singleLevel"/>
    <w:tmpl w:val="7FEC725F"/>
    <w:lvl w:ilvl="0" w:tentative="0">
      <w:start w:val="2"/>
      <w:numFmt w:val="decimal"/>
      <w:suff w:val="nothing"/>
      <w:lvlText w:val="%1、"/>
      <w:lvlJc w:val="left"/>
      <w:pPr>
        <w:ind w:left="1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TNiZDZmMmIwNmU0YzA5ZDg5ZDdmMzNhZTRjMjIifQ=="/>
  </w:docVars>
  <w:rsids>
    <w:rsidRoot w:val="005D5CC8"/>
    <w:rsid w:val="00006C83"/>
    <w:rsid w:val="0003768C"/>
    <w:rsid w:val="00041E16"/>
    <w:rsid w:val="0004736E"/>
    <w:rsid w:val="00072075"/>
    <w:rsid w:val="00087EF9"/>
    <w:rsid w:val="0009307E"/>
    <w:rsid w:val="000935E8"/>
    <w:rsid w:val="000950EA"/>
    <w:rsid w:val="000956C2"/>
    <w:rsid w:val="000A4BB8"/>
    <w:rsid w:val="000A5959"/>
    <w:rsid w:val="000B01A8"/>
    <w:rsid w:val="000B14AA"/>
    <w:rsid w:val="000B708F"/>
    <w:rsid w:val="000C19A3"/>
    <w:rsid w:val="000E0E38"/>
    <w:rsid w:val="000E7D11"/>
    <w:rsid w:val="00102CD6"/>
    <w:rsid w:val="00107E79"/>
    <w:rsid w:val="0011066F"/>
    <w:rsid w:val="001136AA"/>
    <w:rsid w:val="00115B4B"/>
    <w:rsid w:val="00122FDA"/>
    <w:rsid w:val="00133469"/>
    <w:rsid w:val="0013550C"/>
    <w:rsid w:val="00141FE0"/>
    <w:rsid w:val="001459CC"/>
    <w:rsid w:val="00147E41"/>
    <w:rsid w:val="001528A5"/>
    <w:rsid w:val="00155747"/>
    <w:rsid w:val="001658FA"/>
    <w:rsid w:val="00173A10"/>
    <w:rsid w:val="0017631A"/>
    <w:rsid w:val="00177BC6"/>
    <w:rsid w:val="00181E09"/>
    <w:rsid w:val="00192D6C"/>
    <w:rsid w:val="001958EF"/>
    <w:rsid w:val="00197C94"/>
    <w:rsid w:val="001A451B"/>
    <w:rsid w:val="001C4A89"/>
    <w:rsid w:val="001C50D5"/>
    <w:rsid w:val="001D1903"/>
    <w:rsid w:val="001D1FFD"/>
    <w:rsid w:val="001D3C76"/>
    <w:rsid w:val="001D3F5D"/>
    <w:rsid w:val="001D5F18"/>
    <w:rsid w:val="001E46E0"/>
    <w:rsid w:val="001F11DF"/>
    <w:rsid w:val="001F2BCF"/>
    <w:rsid w:val="001F64CB"/>
    <w:rsid w:val="001F6EA8"/>
    <w:rsid w:val="00200800"/>
    <w:rsid w:val="002151FF"/>
    <w:rsid w:val="00215213"/>
    <w:rsid w:val="00216861"/>
    <w:rsid w:val="002238E6"/>
    <w:rsid w:val="002278B8"/>
    <w:rsid w:val="00233B1B"/>
    <w:rsid w:val="002672CE"/>
    <w:rsid w:val="00285799"/>
    <w:rsid w:val="002A7C7B"/>
    <w:rsid w:val="002B1C1A"/>
    <w:rsid w:val="002B2B29"/>
    <w:rsid w:val="002B7D56"/>
    <w:rsid w:val="002D400C"/>
    <w:rsid w:val="002E2113"/>
    <w:rsid w:val="002E6CBA"/>
    <w:rsid w:val="002F0EC9"/>
    <w:rsid w:val="002F1DF2"/>
    <w:rsid w:val="002F24ED"/>
    <w:rsid w:val="00300B22"/>
    <w:rsid w:val="0031566E"/>
    <w:rsid w:val="00317BDB"/>
    <w:rsid w:val="00321B44"/>
    <w:rsid w:val="003312E8"/>
    <w:rsid w:val="00331F8F"/>
    <w:rsid w:val="00334EB6"/>
    <w:rsid w:val="003371B2"/>
    <w:rsid w:val="0035512B"/>
    <w:rsid w:val="00361207"/>
    <w:rsid w:val="00367944"/>
    <w:rsid w:val="0037191C"/>
    <w:rsid w:val="00392066"/>
    <w:rsid w:val="00395BEE"/>
    <w:rsid w:val="00396434"/>
    <w:rsid w:val="003C20CA"/>
    <w:rsid w:val="003C4A49"/>
    <w:rsid w:val="003C6C26"/>
    <w:rsid w:val="003C7770"/>
    <w:rsid w:val="003E5374"/>
    <w:rsid w:val="003F59C3"/>
    <w:rsid w:val="003F5C4D"/>
    <w:rsid w:val="00402B6B"/>
    <w:rsid w:val="0040667E"/>
    <w:rsid w:val="004151DD"/>
    <w:rsid w:val="00415CE2"/>
    <w:rsid w:val="004211DE"/>
    <w:rsid w:val="004300D3"/>
    <w:rsid w:val="00443BDD"/>
    <w:rsid w:val="00471E59"/>
    <w:rsid w:val="00475400"/>
    <w:rsid w:val="0048035D"/>
    <w:rsid w:val="004834E9"/>
    <w:rsid w:val="00497160"/>
    <w:rsid w:val="004A26A0"/>
    <w:rsid w:val="004B0CF4"/>
    <w:rsid w:val="004B2B4D"/>
    <w:rsid w:val="004B6624"/>
    <w:rsid w:val="004B77DD"/>
    <w:rsid w:val="004B79E3"/>
    <w:rsid w:val="004B7CB3"/>
    <w:rsid w:val="004C1AC2"/>
    <w:rsid w:val="004D16DA"/>
    <w:rsid w:val="004D21AF"/>
    <w:rsid w:val="004E5420"/>
    <w:rsid w:val="004E7A4F"/>
    <w:rsid w:val="0050078F"/>
    <w:rsid w:val="00507895"/>
    <w:rsid w:val="00507AE8"/>
    <w:rsid w:val="005110AA"/>
    <w:rsid w:val="005121CC"/>
    <w:rsid w:val="005131F3"/>
    <w:rsid w:val="00522186"/>
    <w:rsid w:val="0052387A"/>
    <w:rsid w:val="00525ABB"/>
    <w:rsid w:val="005265D5"/>
    <w:rsid w:val="00531B94"/>
    <w:rsid w:val="0053785C"/>
    <w:rsid w:val="005507AF"/>
    <w:rsid w:val="0055103F"/>
    <w:rsid w:val="00551A32"/>
    <w:rsid w:val="00557F53"/>
    <w:rsid w:val="00561807"/>
    <w:rsid w:val="00570433"/>
    <w:rsid w:val="00570A81"/>
    <w:rsid w:val="00582E3E"/>
    <w:rsid w:val="0059133A"/>
    <w:rsid w:val="00591740"/>
    <w:rsid w:val="00597D98"/>
    <w:rsid w:val="005A0C47"/>
    <w:rsid w:val="005A1110"/>
    <w:rsid w:val="005B5F42"/>
    <w:rsid w:val="005C204B"/>
    <w:rsid w:val="005C3E5F"/>
    <w:rsid w:val="005C5CA1"/>
    <w:rsid w:val="005D054C"/>
    <w:rsid w:val="005D2265"/>
    <w:rsid w:val="005D5CC8"/>
    <w:rsid w:val="005D7A39"/>
    <w:rsid w:val="005E5EA5"/>
    <w:rsid w:val="005F4EAB"/>
    <w:rsid w:val="00607759"/>
    <w:rsid w:val="00610C41"/>
    <w:rsid w:val="00612101"/>
    <w:rsid w:val="00620C35"/>
    <w:rsid w:val="00620E8E"/>
    <w:rsid w:val="006226AE"/>
    <w:rsid w:val="0062554D"/>
    <w:rsid w:val="0062567D"/>
    <w:rsid w:val="00630405"/>
    <w:rsid w:val="00632EC7"/>
    <w:rsid w:val="00635A7A"/>
    <w:rsid w:val="006412E7"/>
    <w:rsid w:val="00651401"/>
    <w:rsid w:val="00653645"/>
    <w:rsid w:val="0066193C"/>
    <w:rsid w:val="006673CB"/>
    <w:rsid w:val="00671313"/>
    <w:rsid w:val="00675E58"/>
    <w:rsid w:val="00677355"/>
    <w:rsid w:val="00677CFF"/>
    <w:rsid w:val="00683CD1"/>
    <w:rsid w:val="006900DA"/>
    <w:rsid w:val="006967C5"/>
    <w:rsid w:val="006A57D3"/>
    <w:rsid w:val="006B05E9"/>
    <w:rsid w:val="006C028D"/>
    <w:rsid w:val="006C6095"/>
    <w:rsid w:val="006C7BCA"/>
    <w:rsid w:val="006D0A40"/>
    <w:rsid w:val="006D5D0D"/>
    <w:rsid w:val="006E4211"/>
    <w:rsid w:val="007009FA"/>
    <w:rsid w:val="007113F5"/>
    <w:rsid w:val="007153BB"/>
    <w:rsid w:val="00716E3E"/>
    <w:rsid w:val="00720636"/>
    <w:rsid w:val="0073265F"/>
    <w:rsid w:val="007348FF"/>
    <w:rsid w:val="0073746B"/>
    <w:rsid w:val="00737CBD"/>
    <w:rsid w:val="007420BF"/>
    <w:rsid w:val="00753E22"/>
    <w:rsid w:val="0075510C"/>
    <w:rsid w:val="0075674F"/>
    <w:rsid w:val="00762026"/>
    <w:rsid w:val="0077314E"/>
    <w:rsid w:val="007743D6"/>
    <w:rsid w:val="00786ADA"/>
    <w:rsid w:val="00791AB0"/>
    <w:rsid w:val="00791EF1"/>
    <w:rsid w:val="00793C18"/>
    <w:rsid w:val="007A4880"/>
    <w:rsid w:val="007B1AA3"/>
    <w:rsid w:val="007B238B"/>
    <w:rsid w:val="007B477F"/>
    <w:rsid w:val="007C2808"/>
    <w:rsid w:val="007C7CF0"/>
    <w:rsid w:val="007D5070"/>
    <w:rsid w:val="007D6E31"/>
    <w:rsid w:val="007E6573"/>
    <w:rsid w:val="007F7226"/>
    <w:rsid w:val="007F7932"/>
    <w:rsid w:val="00801BFA"/>
    <w:rsid w:val="0080201E"/>
    <w:rsid w:val="00812E90"/>
    <w:rsid w:val="00814297"/>
    <w:rsid w:val="00815D38"/>
    <w:rsid w:val="00820273"/>
    <w:rsid w:val="0083467D"/>
    <w:rsid w:val="008426EF"/>
    <w:rsid w:val="00843657"/>
    <w:rsid w:val="008679A1"/>
    <w:rsid w:val="008916C3"/>
    <w:rsid w:val="008A2734"/>
    <w:rsid w:val="008A669A"/>
    <w:rsid w:val="008C705B"/>
    <w:rsid w:val="008D32B7"/>
    <w:rsid w:val="008E1FD0"/>
    <w:rsid w:val="008E40F1"/>
    <w:rsid w:val="008F28FC"/>
    <w:rsid w:val="008F3AA3"/>
    <w:rsid w:val="008F788C"/>
    <w:rsid w:val="0090098B"/>
    <w:rsid w:val="00900CEF"/>
    <w:rsid w:val="00903539"/>
    <w:rsid w:val="009153A4"/>
    <w:rsid w:val="009158EA"/>
    <w:rsid w:val="00923478"/>
    <w:rsid w:val="00926907"/>
    <w:rsid w:val="00932C2E"/>
    <w:rsid w:val="00935A7C"/>
    <w:rsid w:val="00937F03"/>
    <w:rsid w:val="00943074"/>
    <w:rsid w:val="0095458E"/>
    <w:rsid w:val="0095499B"/>
    <w:rsid w:val="0095749C"/>
    <w:rsid w:val="00961241"/>
    <w:rsid w:val="0096229B"/>
    <w:rsid w:val="00966639"/>
    <w:rsid w:val="00975F79"/>
    <w:rsid w:val="009821DB"/>
    <w:rsid w:val="009868BD"/>
    <w:rsid w:val="00987322"/>
    <w:rsid w:val="009916DE"/>
    <w:rsid w:val="0099593B"/>
    <w:rsid w:val="009A2A27"/>
    <w:rsid w:val="009A3708"/>
    <w:rsid w:val="009B16B8"/>
    <w:rsid w:val="009B1B8A"/>
    <w:rsid w:val="009B7B26"/>
    <w:rsid w:val="009C7706"/>
    <w:rsid w:val="009C7DDF"/>
    <w:rsid w:val="009D2A28"/>
    <w:rsid w:val="009D6BAF"/>
    <w:rsid w:val="009E06EF"/>
    <w:rsid w:val="009E63C0"/>
    <w:rsid w:val="009F3EA2"/>
    <w:rsid w:val="009F5895"/>
    <w:rsid w:val="00A06FD4"/>
    <w:rsid w:val="00A10E0E"/>
    <w:rsid w:val="00A1167B"/>
    <w:rsid w:val="00A12611"/>
    <w:rsid w:val="00A1363C"/>
    <w:rsid w:val="00A2238D"/>
    <w:rsid w:val="00A23A63"/>
    <w:rsid w:val="00A24D3E"/>
    <w:rsid w:val="00A260BA"/>
    <w:rsid w:val="00A27712"/>
    <w:rsid w:val="00A31A41"/>
    <w:rsid w:val="00A41ECE"/>
    <w:rsid w:val="00A5400F"/>
    <w:rsid w:val="00A568B4"/>
    <w:rsid w:val="00A6350D"/>
    <w:rsid w:val="00A664CE"/>
    <w:rsid w:val="00A67936"/>
    <w:rsid w:val="00A73FE2"/>
    <w:rsid w:val="00A77F65"/>
    <w:rsid w:val="00A800A5"/>
    <w:rsid w:val="00A817E2"/>
    <w:rsid w:val="00A82495"/>
    <w:rsid w:val="00A93428"/>
    <w:rsid w:val="00A95A15"/>
    <w:rsid w:val="00AA518C"/>
    <w:rsid w:val="00AA73FA"/>
    <w:rsid w:val="00AB4FB7"/>
    <w:rsid w:val="00AC374D"/>
    <w:rsid w:val="00AC3E86"/>
    <w:rsid w:val="00AC4FFC"/>
    <w:rsid w:val="00AF4A35"/>
    <w:rsid w:val="00AF56EA"/>
    <w:rsid w:val="00B0080E"/>
    <w:rsid w:val="00B16A92"/>
    <w:rsid w:val="00B17ECA"/>
    <w:rsid w:val="00B2050C"/>
    <w:rsid w:val="00B25552"/>
    <w:rsid w:val="00B27B1E"/>
    <w:rsid w:val="00B31AD4"/>
    <w:rsid w:val="00B35D2D"/>
    <w:rsid w:val="00B435EC"/>
    <w:rsid w:val="00B555A7"/>
    <w:rsid w:val="00B600B3"/>
    <w:rsid w:val="00B63F88"/>
    <w:rsid w:val="00B67549"/>
    <w:rsid w:val="00B72DAA"/>
    <w:rsid w:val="00B7570E"/>
    <w:rsid w:val="00B81636"/>
    <w:rsid w:val="00B83EC9"/>
    <w:rsid w:val="00B90FAC"/>
    <w:rsid w:val="00BA0358"/>
    <w:rsid w:val="00BA3BC9"/>
    <w:rsid w:val="00BA3F79"/>
    <w:rsid w:val="00BB13D0"/>
    <w:rsid w:val="00BB4C5B"/>
    <w:rsid w:val="00BE0282"/>
    <w:rsid w:val="00BE2BD2"/>
    <w:rsid w:val="00BF451F"/>
    <w:rsid w:val="00BF66EF"/>
    <w:rsid w:val="00C03A98"/>
    <w:rsid w:val="00C05BE0"/>
    <w:rsid w:val="00C1357E"/>
    <w:rsid w:val="00C2209B"/>
    <w:rsid w:val="00C41D40"/>
    <w:rsid w:val="00C4553F"/>
    <w:rsid w:val="00C569EA"/>
    <w:rsid w:val="00C66F48"/>
    <w:rsid w:val="00C7269F"/>
    <w:rsid w:val="00C73080"/>
    <w:rsid w:val="00C7757B"/>
    <w:rsid w:val="00C856D6"/>
    <w:rsid w:val="00C90913"/>
    <w:rsid w:val="00CA3D83"/>
    <w:rsid w:val="00CA4DC6"/>
    <w:rsid w:val="00CB0F43"/>
    <w:rsid w:val="00CB5A33"/>
    <w:rsid w:val="00CC20DB"/>
    <w:rsid w:val="00CC252F"/>
    <w:rsid w:val="00CC4786"/>
    <w:rsid w:val="00CE4F7C"/>
    <w:rsid w:val="00CE7678"/>
    <w:rsid w:val="00CF0A3F"/>
    <w:rsid w:val="00CF39EC"/>
    <w:rsid w:val="00D122B7"/>
    <w:rsid w:val="00D14780"/>
    <w:rsid w:val="00D226C6"/>
    <w:rsid w:val="00D251C3"/>
    <w:rsid w:val="00D3132A"/>
    <w:rsid w:val="00D34A0C"/>
    <w:rsid w:val="00D34A4B"/>
    <w:rsid w:val="00D4468F"/>
    <w:rsid w:val="00D44AEF"/>
    <w:rsid w:val="00D52BCB"/>
    <w:rsid w:val="00D53F12"/>
    <w:rsid w:val="00D65ABE"/>
    <w:rsid w:val="00D6710A"/>
    <w:rsid w:val="00D83309"/>
    <w:rsid w:val="00D84CC4"/>
    <w:rsid w:val="00D9604C"/>
    <w:rsid w:val="00DB1683"/>
    <w:rsid w:val="00DD340F"/>
    <w:rsid w:val="00DD3AEF"/>
    <w:rsid w:val="00DE1616"/>
    <w:rsid w:val="00DE732A"/>
    <w:rsid w:val="00DF6EF0"/>
    <w:rsid w:val="00DF6EFB"/>
    <w:rsid w:val="00E02CE8"/>
    <w:rsid w:val="00E06EBD"/>
    <w:rsid w:val="00E110C5"/>
    <w:rsid w:val="00E12D36"/>
    <w:rsid w:val="00E15178"/>
    <w:rsid w:val="00E31BD5"/>
    <w:rsid w:val="00E525C6"/>
    <w:rsid w:val="00E61099"/>
    <w:rsid w:val="00E62D53"/>
    <w:rsid w:val="00E66CD5"/>
    <w:rsid w:val="00E70B09"/>
    <w:rsid w:val="00E815FE"/>
    <w:rsid w:val="00E955AB"/>
    <w:rsid w:val="00E95CE7"/>
    <w:rsid w:val="00EA145F"/>
    <w:rsid w:val="00EA3AAB"/>
    <w:rsid w:val="00EA5DBC"/>
    <w:rsid w:val="00ED1FF4"/>
    <w:rsid w:val="00ED66E3"/>
    <w:rsid w:val="00ED7EEE"/>
    <w:rsid w:val="00EE3E01"/>
    <w:rsid w:val="00EE4C15"/>
    <w:rsid w:val="00EE52D6"/>
    <w:rsid w:val="00EE57C2"/>
    <w:rsid w:val="00EE7265"/>
    <w:rsid w:val="00EF638F"/>
    <w:rsid w:val="00F00731"/>
    <w:rsid w:val="00F1098C"/>
    <w:rsid w:val="00F2610C"/>
    <w:rsid w:val="00F466F9"/>
    <w:rsid w:val="00F46F57"/>
    <w:rsid w:val="00F52A82"/>
    <w:rsid w:val="00F7509A"/>
    <w:rsid w:val="00F77011"/>
    <w:rsid w:val="00F9608D"/>
    <w:rsid w:val="00FA63A3"/>
    <w:rsid w:val="00FA69FE"/>
    <w:rsid w:val="00FB0E11"/>
    <w:rsid w:val="00FB79E7"/>
    <w:rsid w:val="00FD38A8"/>
    <w:rsid w:val="00FD48FF"/>
    <w:rsid w:val="00FE07F5"/>
    <w:rsid w:val="00FE7DD9"/>
    <w:rsid w:val="00FF3536"/>
    <w:rsid w:val="00FF561D"/>
    <w:rsid w:val="04BC2398"/>
    <w:rsid w:val="081B2CBC"/>
    <w:rsid w:val="10381E5F"/>
    <w:rsid w:val="116562A2"/>
    <w:rsid w:val="12E85B8B"/>
    <w:rsid w:val="14883FB2"/>
    <w:rsid w:val="16DA1D49"/>
    <w:rsid w:val="17465644"/>
    <w:rsid w:val="196577CB"/>
    <w:rsid w:val="19D31E6B"/>
    <w:rsid w:val="1ADE52D3"/>
    <w:rsid w:val="21911FD8"/>
    <w:rsid w:val="21A175EC"/>
    <w:rsid w:val="29895881"/>
    <w:rsid w:val="2B3C4DD6"/>
    <w:rsid w:val="2DEB37E3"/>
    <w:rsid w:val="2E9472BB"/>
    <w:rsid w:val="32361292"/>
    <w:rsid w:val="32920434"/>
    <w:rsid w:val="33F17DE8"/>
    <w:rsid w:val="35861007"/>
    <w:rsid w:val="3B18110C"/>
    <w:rsid w:val="3D063C5F"/>
    <w:rsid w:val="4AD651C5"/>
    <w:rsid w:val="4B406098"/>
    <w:rsid w:val="51C6134E"/>
    <w:rsid w:val="54076AF9"/>
    <w:rsid w:val="5827370A"/>
    <w:rsid w:val="5EE504D6"/>
    <w:rsid w:val="60E06EB4"/>
    <w:rsid w:val="624D0A76"/>
    <w:rsid w:val="630867CE"/>
    <w:rsid w:val="643F5136"/>
    <w:rsid w:val="66355806"/>
    <w:rsid w:val="6B5D1873"/>
    <w:rsid w:val="6D3560C3"/>
    <w:rsid w:val="6E6A288A"/>
    <w:rsid w:val="6EAB7CB4"/>
    <w:rsid w:val="77D3717F"/>
    <w:rsid w:val="78465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100" w:afterLines="100"/>
      <w:jc w:val="center"/>
      <w:outlineLvl w:val="0"/>
    </w:pPr>
    <w:rPr>
      <w:rFonts w:eastAsia="方正小标宋_GBK"/>
      <w:b/>
      <w:bCs/>
      <w:kern w:val="44"/>
      <w:sz w:val="48"/>
      <w:szCs w:val="44"/>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bCs/>
    </w:rPr>
  </w:style>
  <w:style w:type="character" w:styleId="12">
    <w:name w:val="Emphasis"/>
    <w:basedOn w:val="10"/>
    <w:qFormat/>
    <w:uiPriority w:val="20"/>
    <w:rPr>
      <w:i/>
      <w:iCs/>
    </w:rPr>
  </w:style>
  <w:style w:type="paragraph" w:customStyle="1" w:styleId="13">
    <w:name w:val="样式 样式 标题2 + 段前: 0.5 行 段后: 0.5 行 + 段前: 0.5 行 段后: 0.5 行"/>
    <w:basedOn w:val="1"/>
    <w:qFormat/>
    <w:uiPriority w:val="0"/>
    <w:pPr>
      <w:adjustRightInd w:val="0"/>
      <w:snapToGrid w:val="0"/>
      <w:spacing w:beforeLines="30" w:afterLines="30"/>
      <w:ind w:firstLine="147" w:firstLineChars="147"/>
    </w:pPr>
    <w:rPr>
      <w:rFonts w:ascii="方正魏碑_GBK" w:hAnsi="宋体" w:eastAsia="方正魏碑_GBK" w:cs="宋体"/>
      <w:b/>
      <w:bCs/>
      <w:sz w:val="30"/>
      <w:szCs w:val="20"/>
    </w:rPr>
  </w:style>
  <w:style w:type="character" w:customStyle="1" w:styleId="14">
    <w:name w:val="样式 样式 方正小标宋_GBK 小二 + (符号) 方正小标宋_GBK 加粗 黑色 双波浪线"/>
    <w:basedOn w:val="10"/>
    <w:qFormat/>
    <w:uiPriority w:val="0"/>
    <w:rPr>
      <w:rFonts w:ascii="方正小标宋_GBK" w:eastAsia="方正小标宋_GBK"/>
      <w:b/>
      <w:bCs/>
      <w:color w:val="000000"/>
      <w:kern w:val="44"/>
      <w:sz w:val="44"/>
      <w:szCs w:val="44"/>
      <w:u w:val="none"/>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0"/>
    <w:rPr>
      <w:kern w:val="2"/>
      <w:sz w:val="18"/>
      <w:szCs w:val="18"/>
    </w:rPr>
  </w:style>
  <w:style w:type="paragraph" w:customStyle="1" w:styleId="17">
    <w:name w:val="default"/>
    <w:basedOn w:val="1"/>
    <w:qFormat/>
    <w:uiPriority w:val="0"/>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0"/>
    <w:rPr>
      <w:kern w:val="2"/>
      <w:sz w:val="18"/>
      <w:szCs w:val="18"/>
    </w:rPr>
  </w:style>
  <w:style w:type="character" w:customStyle="1" w:styleId="20">
    <w:name w:val="标题 3 Char"/>
    <w:basedOn w:val="10"/>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5E38-9C31-48E2-A569-F34092023B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3474</Words>
  <Characters>3818</Characters>
  <Lines>31</Lines>
  <Paragraphs>8</Paragraphs>
  <TotalTime>0</TotalTime>
  <ScaleCrop>false</ScaleCrop>
  <LinksUpToDate>false</LinksUpToDate>
  <CharactersWithSpaces>3901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2018-09-14T07:21:00Z</dcterms:created>
  <dc:creator>User</dc:creator>
  <cp:lastModifiedBy>HUANG</cp:lastModifiedBy>
  <cp:lastPrinted>2021-09-24T03:27:00Z</cp:lastPrinted>
  <dcterms:modified xsi:type="dcterms:W3CDTF">2022-10-08T01:06:18Z</dcterms:modified>
  <dc:title>西南科技大学硕士研究生</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4F9FD6A7AEE04E13B20DD48D702777B5</vt:lpwstr>
  </property>
</Properties>
</file>